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AC" w:rsidRPr="00A85716" w:rsidRDefault="001A0FAC" w:rsidP="001A0FAC">
      <w:pPr>
        <w:jc w:val="left"/>
        <w:rPr>
          <w:rFonts w:ascii="Times New Roman" w:eastAsia="Calibri" w:hAnsi="Times New Roman"/>
          <w:color w:val="002060"/>
          <w:sz w:val="22"/>
          <w:szCs w:val="22"/>
          <w:lang w:eastAsia="hr-HR"/>
        </w:rPr>
      </w:pPr>
    </w:p>
    <w:p w:rsidR="001A0FAC" w:rsidRPr="00A85716" w:rsidRDefault="001A0FAC" w:rsidP="001A0FAC">
      <w:pPr>
        <w:ind w:left="1134" w:hanging="414"/>
        <w:jc w:val="left"/>
        <w:rPr>
          <w:rFonts w:ascii="Calibri" w:eastAsia="Calibri" w:hAnsi="Calibri"/>
          <w:color w:val="002060"/>
          <w:sz w:val="22"/>
          <w:szCs w:val="22"/>
          <w:lang w:eastAsia="hr-HR"/>
        </w:rPr>
      </w:pPr>
      <w:r w:rsidRPr="00A85716">
        <w:rPr>
          <w:rFonts w:ascii="Calibri" w:eastAsia="Calibri" w:hAnsi="Calibri"/>
          <w:noProof/>
          <w:color w:val="002060"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7EB34A36" wp14:editId="3F32E6D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6095" cy="457200"/>
            <wp:effectExtent l="0" t="0" r="8255" b="0"/>
            <wp:wrapNone/>
            <wp:docPr id="1" name="Slika 2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ss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16">
        <w:rPr>
          <w:rFonts w:ascii="Calibri" w:eastAsia="Calibri" w:hAnsi="Calibri"/>
          <w:color w:val="002060"/>
          <w:sz w:val="22"/>
          <w:szCs w:val="22"/>
          <w:lang w:eastAsia="hr-HR"/>
        </w:rPr>
        <w:t xml:space="preserve">  SVEUČILIŠTE U ZAGREBU</w:t>
      </w:r>
    </w:p>
    <w:p w:rsidR="001A0FAC" w:rsidRPr="00A85716" w:rsidRDefault="001A0FAC" w:rsidP="001A0FAC">
      <w:pPr>
        <w:ind w:left="1134" w:hanging="414"/>
        <w:jc w:val="left"/>
        <w:rPr>
          <w:rFonts w:ascii="Calibri" w:eastAsia="Calibri" w:hAnsi="Calibri"/>
          <w:color w:val="002060"/>
          <w:sz w:val="22"/>
          <w:szCs w:val="22"/>
          <w:lang w:eastAsia="hr-HR"/>
        </w:rPr>
      </w:pPr>
      <w:r w:rsidRPr="00A85716">
        <w:rPr>
          <w:rFonts w:ascii="Calibri" w:eastAsia="Calibri" w:hAnsi="Calibri"/>
          <w:color w:val="002060"/>
          <w:sz w:val="22"/>
          <w:szCs w:val="22"/>
          <w:lang w:eastAsia="hr-HR"/>
        </w:rPr>
        <w:t xml:space="preserve">  STUDENTSKI CENTAR U ZAGREBU</w:t>
      </w: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A85716" w:rsidRDefault="001A0FAC" w:rsidP="001A0FAC">
      <w:pPr>
        <w:jc w:val="center"/>
        <w:rPr>
          <w:rFonts w:ascii="Calibri" w:eastAsia="Calibri" w:hAnsi="Calibri"/>
          <w:b/>
          <w:bCs/>
          <w:color w:val="002060"/>
          <w:sz w:val="28"/>
          <w:szCs w:val="28"/>
          <w:lang w:eastAsia="hr-HR"/>
        </w:rPr>
      </w:pPr>
      <w:r w:rsidRPr="00A85716">
        <w:rPr>
          <w:rFonts w:ascii="Calibri" w:eastAsia="Calibri" w:hAnsi="Calibri"/>
          <w:b/>
          <w:bCs/>
          <w:color w:val="002060"/>
          <w:sz w:val="28"/>
          <w:szCs w:val="28"/>
          <w:lang w:eastAsia="hr-HR"/>
        </w:rPr>
        <w:t>IZMJENA FINANCIJSKOG PLANA</w:t>
      </w:r>
    </w:p>
    <w:p w:rsidR="001A0FAC" w:rsidRPr="00A85716" w:rsidRDefault="001A0FAC" w:rsidP="001A0FAC">
      <w:pPr>
        <w:jc w:val="center"/>
        <w:rPr>
          <w:rFonts w:ascii="Calibri" w:eastAsia="Calibri" w:hAnsi="Calibri"/>
          <w:b/>
          <w:bCs/>
          <w:color w:val="002060"/>
          <w:sz w:val="28"/>
          <w:szCs w:val="28"/>
          <w:lang w:eastAsia="hr-HR"/>
        </w:rPr>
      </w:pPr>
      <w:r w:rsidRPr="00A85716">
        <w:rPr>
          <w:rFonts w:ascii="Calibri" w:eastAsia="Calibri" w:hAnsi="Calibri"/>
          <w:b/>
          <w:bCs/>
          <w:color w:val="002060"/>
          <w:sz w:val="28"/>
          <w:szCs w:val="28"/>
          <w:lang w:eastAsia="hr-HR"/>
        </w:rPr>
        <w:t>STUD</w:t>
      </w:r>
      <w:r w:rsidR="005070E9" w:rsidRPr="00A85716">
        <w:rPr>
          <w:rFonts w:ascii="Calibri" w:eastAsia="Calibri" w:hAnsi="Calibri"/>
          <w:b/>
          <w:bCs/>
          <w:color w:val="002060"/>
          <w:sz w:val="28"/>
          <w:szCs w:val="28"/>
          <w:lang w:eastAsia="hr-HR"/>
        </w:rPr>
        <w:t>ENTSKOG CENTRA U ZAGREBU ZA 2019</w:t>
      </w:r>
      <w:r w:rsidRPr="00A85716">
        <w:rPr>
          <w:rFonts w:ascii="Calibri" w:eastAsia="Calibri" w:hAnsi="Calibri"/>
          <w:b/>
          <w:bCs/>
          <w:color w:val="002060"/>
          <w:sz w:val="28"/>
          <w:szCs w:val="28"/>
          <w:lang w:eastAsia="hr-HR"/>
        </w:rPr>
        <w:t>. GODINU</w:t>
      </w:r>
    </w:p>
    <w:p w:rsidR="001A0FAC" w:rsidRPr="00A85716" w:rsidRDefault="001A0FAC" w:rsidP="001A0FAC">
      <w:pPr>
        <w:rPr>
          <w:rFonts w:ascii="Calibri" w:eastAsia="Calibri" w:hAnsi="Calibri"/>
          <w:bCs/>
          <w:color w:val="002060"/>
          <w:sz w:val="28"/>
          <w:szCs w:val="28"/>
          <w:lang w:eastAsia="hr-HR"/>
        </w:rPr>
      </w:pPr>
      <w:r w:rsidRPr="00A85716">
        <w:rPr>
          <w:rFonts w:ascii="Calibri" w:eastAsia="Calibri" w:hAnsi="Calibri"/>
          <w:bCs/>
          <w:color w:val="002060"/>
          <w:sz w:val="28"/>
          <w:szCs w:val="28"/>
          <w:lang w:eastAsia="hr-HR"/>
        </w:rPr>
        <w:t xml:space="preserve"> </w:t>
      </w:r>
    </w:p>
    <w:p w:rsidR="001A0FAC" w:rsidRPr="005D5A6C" w:rsidRDefault="001A0FAC" w:rsidP="001A0FAC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Pr="003C29FC" w:rsidRDefault="001A0FAC" w:rsidP="001A0FA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390E39" w:rsidRDefault="00390E39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390E39" w:rsidRDefault="00390E39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390E39" w:rsidRPr="00390E39" w:rsidRDefault="00390E39" w:rsidP="001A0FAC">
      <w:pPr>
        <w:rPr>
          <w:rFonts w:ascii="Calibri" w:eastAsia="Calibri" w:hAnsi="Calibri"/>
          <w:b/>
          <w:color w:val="002060"/>
          <w:sz w:val="22"/>
          <w:szCs w:val="22"/>
          <w:lang w:eastAsia="hr-HR"/>
        </w:rPr>
      </w:pPr>
      <w:r w:rsidRPr="00390E39">
        <w:rPr>
          <w:rFonts w:ascii="Calibri" w:eastAsia="Calibri" w:hAnsi="Calibri"/>
          <w:b/>
          <w:color w:val="002060"/>
          <w:sz w:val="22"/>
          <w:szCs w:val="22"/>
          <w:lang w:eastAsia="hr-HR"/>
        </w:rPr>
        <w:t>PRIHODI:</w:t>
      </w: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1"/>
        <w:gridCol w:w="688"/>
        <w:gridCol w:w="5009"/>
        <w:gridCol w:w="2429"/>
        <w:gridCol w:w="1732"/>
        <w:gridCol w:w="1517"/>
        <w:gridCol w:w="2116"/>
      </w:tblGrid>
      <w:tr w:rsidR="004471BA" w:rsidRPr="001A0FAC" w:rsidTr="00E918B1">
        <w:trPr>
          <w:trHeight w:val="806"/>
        </w:trPr>
        <w:tc>
          <w:tcPr>
            <w:tcW w:w="425" w:type="pct"/>
            <w:gridSpan w:val="2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Račun</w:t>
            </w:r>
          </w:p>
        </w:tc>
        <w:tc>
          <w:tcPr>
            <w:tcW w:w="1790" w:type="pct"/>
            <w:vMerge w:val="restart"/>
            <w:noWrap/>
            <w:vAlign w:val="center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Naziv</w:t>
            </w:r>
          </w:p>
        </w:tc>
        <w:tc>
          <w:tcPr>
            <w:tcW w:w="868" w:type="pct"/>
            <w:vMerge w:val="restart"/>
            <w:noWrap/>
            <w:vAlign w:val="center"/>
            <w:hideMark/>
          </w:tcPr>
          <w:p w:rsidR="004471BA" w:rsidRPr="001A0FAC" w:rsidRDefault="00D72055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Plan za 2019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161" w:type="pct"/>
            <w:gridSpan w:val="2"/>
            <w:vAlign w:val="center"/>
            <w:hideMark/>
          </w:tcPr>
          <w:p w:rsidR="004471BA" w:rsidRPr="001A0FAC" w:rsidRDefault="00D72055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Izmjene plana 2019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. 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br/>
              <w:t>povećanje/smanjenje</w:t>
            </w:r>
          </w:p>
        </w:tc>
        <w:tc>
          <w:tcPr>
            <w:tcW w:w="756" w:type="pct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4471BA" w:rsidRPr="001A0FAC" w:rsidRDefault="00D72055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Novi plan za 2019</w:t>
            </w:r>
            <w:r w:rsidR="004471BA" w:rsidRPr="001A0F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</w:tc>
      </w:tr>
      <w:tr w:rsidR="004471BA" w:rsidRPr="001A0FAC" w:rsidTr="00E918B1">
        <w:trPr>
          <w:trHeight w:val="474"/>
        </w:trPr>
        <w:tc>
          <w:tcPr>
            <w:tcW w:w="425" w:type="pct"/>
            <w:gridSpan w:val="2"/>
            <w:vMerge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90" w:type="pct"/>
            <w:vMerge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vMerge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povećanje</w:t>
            </w:r>
          </w:p>
        </w:tc>
        <w:tc>
          <w:tcPr>
            <w:tcW w:w="542" w:type="pct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smanjenje</w:t>
            </w:r>
          </w:p>
        </w:tc>
        <w:tc>
          <w:tcPr>
            <w:tcW w:w="756" w:type="pct"/>
            <w:vMerge/>
            <w:shd w:val="clear" w:color="auto" w:fill="DEEAF6" w:themeFill="accent1" w:themeFillTint="33"/>
            <w:hideMark/>
          </w:tcPr>
          <w:p w:rsidR="004471BA" w:rsidRPr="001A0FAC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474"/>
        </w:trPr>
        <w:tc>
          <w:tcPr>
            <w:tcW w:w="5000" w:type="pct"/>
            <w:gridSpan w:val="7"/>
            <w:noWrap/>
          </w:tcPr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PRIHODI</w:t>
            </w:r>
          </w:p>
          <w:p w:rsidR="004471BA" w:rsidRDefault="004471BA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31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Prihodi od prodaje roba i pružanja usluga 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D72055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81.056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ED1375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444.00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D72055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ED1375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81.500</w:t>
            </w:r>
            <w:r w:rsidR="00D72055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311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Prihodi od prodaje roba i pružanja usluga 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D72055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81.056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ED1375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444.000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5E5C99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ED1375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81.5</w:t>
            </w:r>
            <w:r w:rsidR="005E5C99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32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Prihodi od članarina i članskih doprinosa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316025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60.800.000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F95AE0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13</w:t>
            </w:r>
            <w:r w:rsidR="00316025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.200.000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305B4F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74</w:t>
            </w:r>
            <w:r w:rsidR="00316025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321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članarina i članskih doprinosa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316025" w:rsidP="00316025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                      60.800.000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A67650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13</w:t>
            </w:r>
            <w:r w:rsidR="00316025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.200.000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EF63E8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74.000.000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33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Prihodi po posebnim propisima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3302BF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81.240.000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E15844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- 485</w:t>
            </w:r>
            <w:r w:rsidR="00EF63E8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CE7087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80.755</w:t>
            </w:r>
            <w:r w:rsidR="003302BF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331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po posebnim propisima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3302B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81.240.000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E15844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- 485</w:t>
            </w:r>
            <w:r w:rsidR="00EF63E8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CE708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80.755</w:t>
            </w:r>
            <w:r w:rsidR="00EF63E8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34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Prihodi od imovine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3302BF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1.187.000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8D28EB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583.370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3A6156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8D28EB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1.770</w:t>
            </w:r>
            <w:r w:rsidR="00DD579E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.370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341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financijske imovine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4264D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350.000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264D2" w:rsidRPr="00A85716" w:rsidRDefault="004264D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440.370</w:t>
            </w:r>
          </w:p>
          <w:p w:rsidR="004471BA" w:rsidRPr="00A85716" w:rsidRDefault="004471BA" w:rsidP="004264D2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4264D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790.370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342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nefinancijske imovine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  </w:t>
            </w:r>
            <w:r w:rsidR="004264D2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837.000</w:t>
            </w: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8D28E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143.00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264D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8D28E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980</w:t>
            </w:r>
            <w:r w:rsidR="004264D2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35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Prihodi od donacija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575148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9.997.00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0A1461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900</w:t>
            </w:r>
            <w:r w:rsidR="00575148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0A1461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-187.000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575148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10.710.000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donacija iz proračuna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</w:p>
        </w:tc>
        <w:tc>
          <w:tcPr>
            <w:tcW w:w="246" w:type="pct"/>
            <w:noWrap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352</w:t>
            </w:r>
          </w:p>
        </w:tc>
        <w:tc>
          <w:tcPr>
            <w:tcW w:w="1790" w:type="pct"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</w:t>
            </w:r>
            <w:r w:rsidR="00A95C4C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rihodi od inozemnih vlada i </w:t>
            </w:r>
            <w:proofErr w:type="spellStart"/>
            <w:r w:rsidR="00A95C4C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međunar</w:t>
            </w:r>
            <w:proofErr w:type="spellEnd"/>
            <w:r w:rsidR="00A95C4C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</w:t>
            </w: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organizacija</w:t>
            </w:r>
          </w:p>
        </w:tc>
        <w:tc>
          <w:tcPr>
            <w:tcW w:w="868" w:type="pct"/>
            <w:noWrap/>
          </w:tcPr>
          <w:p w:rsidR="004471BA" w:rsidRPr="00A85716" w:rsidRDefault="00C73E2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13.00</w:t>
            </w:r>
            <w:r w:rsidR="000B207B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619" w:type="pct"/>
            <w:noWrap/>
          </w:tcPr>
          <w:p w:rsidR="004471BA" w:rsidRPr="00A85716" w:rsidRDefault="000B207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542" w:type="pct"/>
            <w:noWrap/>
          </w:tcPr>
          <w:p w:rsidR="004471BA" w:rsidRPr="00A85716" w:rsidRDefault="00C73E2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-13.000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</w:tcPr>
          <w:p w:rsidR="004471BA" w:rsidRPr="00A85716" w:rsidRDefault="00C73E2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353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trg. društava i ostalih pravnih osoba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575148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184.000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575148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-174.000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575148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355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Ostali prihodi od donacija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2D2B9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9.800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E0002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900.000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2D2B9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10.700.000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36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Ostali  prihodi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CA30B1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538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3414DF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2.670</w:t>
            </w:r>
            <w:r w:rsidR="00A75ACD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A75ACD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- 168.00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826BE2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3.0</w:t>
            </w:r>
            <w:r w:rsidR="00CA30B1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361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naknada šteta i refundacija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CA30B1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278.000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A10605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-168.000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CA30B1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110.000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362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Prihodi od prodaje dugotrajne imovine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720E64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10.000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720E64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720E64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10.000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363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Ostali nespomenuti prihodi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7E103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25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0.000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3414D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2.670</w:t>
            </w:r>
            <w:r w:rsidR="00F37F64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826BE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2.9</w:t>
            </w:r>
            <w:r w:rsidR="007E103B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20.000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37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Prihodi od povezanih neprofitnih organizacija 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</w:tr>
      <w:tr w:rsidR="004471BA" w:rsidRPr="001A0FAC" w:rsidTr="00E918B1">
        <w:trPr>
          <w:trHeight w:val="508"/>
        </w:trPr>
        <w:tc>
          <w:tcPr>
            <w:tcW w:w="179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371</w:t>
            </w:r>
          </w:p>
        </w:tc>
        <w:tc>
          <w:tcPr>
            <w:tcW w:w="1790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Prihodi od povezanih neprofitnih organizacija 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</w:tr>
      <w:tr w:rsidR="004471BA" w:rsidRPr="001A0FAC" w:rsidTr="00E918B1">
        <w:trPr>
          <w:trHeight w:val="518"/>
        </w:trPr>
        <w:tc>
          <w:tcPr>
            <w:tcW w:w="2215" w:type="pct"/>
            <w:gridSpan w:val="3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UKUPNO PRIHODI</w:t>
            </w:r>
          </w:p>
        </w:tc>
        <w:tc>
          <w:tcPr>
            <w:tcW w:w="868" w:type="pct"/>
            <w:noWrap/>
            <w:hideMark/>
          </w:tcPr>
          <w:p w:rsidR="004471BA" w:rsidRPr="00A85716" w:rsidRDefault="00DE7BF6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234.818.000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noWrap/>
            <w:hideMark/>
          </w:tcPr>
          <w:p w:rsidR="004471BA" w:rsidRPr="00A85716" w:rsidRDefault="00B81762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17</w:t>
            </w:r>
            <w:r w:rsidR="00CA7C08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.797.370</w:t>
            </w:r>
          </w:p>
        </w:tc>
        <w:tc>
          <w:tcPr>
            <w:tcW w:w="542" w:type="pct"/>
            <w:noWrap/>
            <w:hideMark/>
          </w:tcPr>
          <w:p w:rsidR="004471BA" w:rsidRPr="00A85716" w:rsidRDefault="00DE7BF6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- </w:t>
            </w:r>
            <w:r w:rsidR="0086293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840</w:t>
            </w: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  <w:tc>
          <w:tcPr>
            <w:tcW w:w="756" w:type="pct"/>
            <w:shd w:val="clear" w:color="auto" w:fill="DEEAF6" w:themeFill="accent1" w:themeFillTint="33"/>
            <w:noWrap/>
            <w:hideMark/>
          </w:tcPr>
          <w:p w:rsidR="004471BA" w:rsidRDefault="00862935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251.775</w:t>
            </w:r>
            <w:r w:rsidR="00CA7C08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.370</w:t>
            </w:r>
          </w:p>
          <w:p w:rsidR="00C05209" w:rsidRPr="00A85716" w:rsidRDefault="00C05209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1A0FAC" w:rsidRDefault="001A0FAC" w:rsidP="001A0FAC">
      <w:pPr>
        <w:rPr>
          <w:rFonts w:ascii="Calibri" w:eastAsia="Calibri" w:hAnsi="Calibri"/>
          <w:sz w:val="22"/>
          <w:szCs w:val="22"/>
          <w:lang w:eastAsia="hr-HR"/>
        </w:rPr>
      </w:pPr>
    </w:p>
    <w:p w:rsidR="00C9083A" w:rsidRDefault="00C9083A"/>
    <w:p w:rsidR="001A0FAC" w:rsidRDefault="001A0FAC"/>
    <w:p w:rsidR="001A0FAC" w:rsidRDefault="001A0FAC"/>
    <w:p w:rsidR="001A0FAC" w:rsidRPr="00A16DBC" w:rsidRDefault="00CB4844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A16DBC">
        <w:rPr>
          <w:rFonts w:asciiTheme="minorHAnsi" w:hAnsiTheme="minorHAnsi" w:cstheme="minorHAnsi"/>
          <w:color w:val="002060"/>
          <w:sz w:val="22"/>
          <w:szCs w:val="22"/>
        </w:rPr>
        <w:t>Obrazloženje financijski najznačajnijih odstupanja prihoda:</w:t>
      </w:r>
    </w:p>
    <w:p w:rsidR="00BE10CC" w:rsidRPr="00A16DBC" w:rsidRDefault="00BE10CC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BE10CC" w:rsidRPr="00A16DBC" w:rsidRDefault="00BE10CC" w:rsidP="00BE10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A16DBC">
        <w:rPr>
          <w:rFonts w:asciiTheme="minorHAnsi" w:hAnsiTheme="minorHAnsi" w:cstheme="minorHAnsi"/>
          <w:color w:val="002060"/>
          <w:sz w:val="22"/>
          <w:szCs w:val="22"/>
        </w:rPr>
        <w:t>311 – Povećanje prih</w:t>
      </w:r>
      <w:r w:rsidR="00A27D28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oda od prodaje roba </w:t>
      </w:r>
      <w:r w:rsidRPr="00A16DBC">
        <w:rPr>
          <w:rFonts w:asciiTheme="minorHAnsi" w:hAnsiTheme="minorHAnsi" w:cstheme="minorHAnsi"/>
          <w:color w:val="002060"/>
          <w:sz w:val="22"/>
          <w:szCs w:val="22"/>
        </w:rPr>
        <w:t>za 7 % i usl</w:t>
      </w:r>
      <w:r w:rsidR="00A27D28" w:rsidRPr="00A16DBC">
        <w:rPr>
          <w:rFonts w:asciiTheme="minorHAnsi" w:hAnsiTheme="minorHAnsi" w:cstheme="minorHAnsi"/>
          <w:color w:val="002060"/>
          <w:sz w:val="22"/>
          <w:szCs w:val="22"/>
        </w:rPr>
        <w:t>uga</w:t>
      </w:r>
      <w:r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 za 2,5 %</w:t>
      </w:r>
      <w:r w:rsidR="00A27D28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 u odnosu na prethodnu godinu</w:t>
      </w:r>
      <w:r w:rsidR="004C44FC">
        <w:rPr>
          <w:rFonts w:asciiTheme="minorHAnsi" w:hAnsiTheme="minorHAnsi" w:cstheme="minorHAnsi"/>
          <w:color w:val="002060"/>
          <w:sz w:val="22"/>
          <w:szCs w:val="22"/>
        </w:rPr>
        <w:t xml:space="preserve"> što je za 444 tisuće kuna više nego je planirano</w:t>
      </w:r>
    </w:p>
    <w:p w:rsidR="00CB4844" w:rsidRPr="00A16DBC" w:rsidRDefault="00CB4844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CB4844" w:rsidRPr="00A16DBC" w:rsidRDefault="00BE10CC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A16DBC">
        <w:rPr>
          <w:rFonts w:asciiTheme="minorHAnsi" w:hAnsiTheme="minorHAnsi" w:cstheme="minorHAnsi"/>
          <w:color w:val="002060"/>
          <w:sz w:val="22"/>
          <w:szCs w:val="22"/>
        </w:rPr>
        <w:t>32</w:t>
      </w:r>
      <w:r w:rsidR="00CB4844" w:rsidRPr="00A16DBC">
        <w:rPr>
          <w:rFonts w:asciiTheme="minorHAnsi" w:hAnsiTheme="minorHAnsi" w:cstheme="minorHAnsi"/>
          <w:color w:val="002060"/>
          <w:sz w:val="22"/>
          <w:szCs w:val="22"/>
        </w:rPr>
        <w:t>1 – Prihod Student</w:t>
      </w:r>
      <w:r w:rsidR="0028456A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 servisa: povećanje </w:t>
      </w:r>
      <w:r w:rsidR="00C60820">
        <w:rPr>
          <w:rFonts w:asciiTheme="minorHAnsi" w:hAnsiTheme="minorHAnsi" w:cstheme="minorHAnsi"/>
          <w:color w:val="002060"/>
          <w:sz w:val="22"/>
          <w:szCs w:val="22"/>
        </w:rPr>
        <w:t xml:space="preserve">je </w:t>
      </w:r>
      <w:r w:rsidR="0028456A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nastalo kao posljedica </w:t>
      </w:r>
      <w:r w:rsidR="006247BF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primjene </w:t>
      </w:r>
      <w:r w:rsidR="00CB4844" w:rsidRPr="00A16DBC">
        <w:rPr>
          <w:rFonts w:asciiTheme="minorHAnsi" w:hAnsiTheme="minorHAnsi" w:cstheme="minorHAnsi"/>
          <w:color w:val="002060"/>
          <w:sz w:val="22"/>
          <w:szCs w:val="22"/>
        </w:rPr>
        <w:t>odredbi Zakona o studentskim poslovima koji je omogućio rad iz</w:t>
      </w:r>
      <w:r w:rsidR="006247BF" w:rsidRPr="00A16DBC">
        <w:rPr>
          <w:rFonts w:asciiTheme="minorHAnsi" w:hAnsiTheme="minorHAnsi" w:cstheme="minorHAnsi"/>
          <w:color w:val="002060"/>
          <w:sz w:val="22"/>
          <w:szCs w:val="22"/>
        </w:rPr>
        <w:t>vanrednim studentima i definirao</w:t>
      </w:r>
      <w:r w:rsidR="0028456A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 minimalne cijene</w:t>
      </w:r>
      <w:r w:rsidR="00CB4844"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A16DBC">
        <w:rPr>
          <w:rFonts w:asciiTheme="minorHAnsi" w:hAnsiTheme="minorHAnsi" w:cstheme="minorHAnsi"/>
          <w:color w:val="002060"/>
          <w:sz w:val="22"/>
          <w:szCs w:val="22"/>
        </w:rPr>
        <w:t xml:space="preserve">sata </w:t>
      </w:r>
      <w:r w:rsidR="00203C45" w:rsidRPr="00A16DBC">
        <w:rPr>
          <w:rFonts w:asciiTheme="minorHAnsi" w:hAnsiTheme="minorHAnsi" w:cstheme="minorHAnsi"/>
          <w:color w:val="002060"/>
          <w:sz w:val="22"/>
          <w:szCs w:val="22"/>
        </w:rPr>
        <w:t>rada studenata</w:t>
      </w:r>
    </w:p>
    <w:p w:rsidR="00BE10CC" w:rsidRPr="00A16DBC" w:rsidRDefault="00BE10CC" w:rsidP="00BE10CC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CB4844" w:rsidRPr="002B2ECE" w:rsidRDefault="00993A58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B2ECE">
        <w:rPr>
          <w:rFonts w:asciiTheme="minorHAnsi" w:hAnsiTheme="minorHAnsi" w:cstheme="minorHAnsi"/>
          <w:color w:val="002060"/>
          <w:sz w:val="22"/>
          <w:szCs w:val="22"/>
        </w:rPr>
        <w:lastRenderedPageBreak/>
        <w:t>3</w:t>
      </w:r>
      <w:r w:rsidR="009C0005" w:rsidRPr="002B2ECE">
        <w:rPr>
          <w:rFonts w:asciiTheme="minorHAnsi" w:hAnsiTheme="minorHAnsi" w:cstheme="minorHAnsi"/>
          <w:color w:val="002060"/>
          <w:sz w:val="22"/>
          <w:szCs w:val="22"/>
        </w:rPr>
        <w:t>31</w:t>
      </w: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B08A6" w:rsidRPr="002B2ECE">
        <w:rPr>
          <w:rFonts w:asciiTheme="minorHAnsi" w:hAnsiTheme="minorHAnsi" w:cstheme="minorHAnsi"/>
          <w:color w:val="002060"/>
          <w:sz w:val="22"/>
          <w:szCs w:val="22"/>
        </w:rPr>
        <w:t>–</w:t>
      </w: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25613">
        <w:rPr>
          <w:rFonts w:asciiTheme="minorHAnsi" w:hAnsiTheme="minorHAnsi" w:cstheme="minorHAnsi"/>
          <w:color w:val="002060"/>
          <w:sz w:val="22"/>
          <w:szCs w:val="22"/>
        </w:rPr>
        <w:t>Prihodi po posebnim propisima (</w:t>
      </w:r>
      <w:r w:rsidR="00B87128">
        <w:rPr>
          <w:rFonts w:asciiTheme="minorHAnsi" w:hAnsiTheme="minorHAnsi" w:cstheme="minorHAnsi"/>
          <w:color w:val="002060"/>
          <w:sz w:val="22"/>
          <w:szCs w:val="22"/>
        </w:rPr>
        <w:t xml:space="preserve"> subvencija za </w:t>
      </w:r>
      <w:r w:rsidR="00925613"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="00B87128">
        <w:rPr>
          <w:rFonts w:asciiTheme="minorHAnsi" w:hAnsiTheme="minorHAnsi" w:cstheme="minorHAnsi"/>
          <w:color w:val="002060"/>
          <w:sz w:val="22"/>
          <w:szCs w:val="22"/>
        </w:rPr>
        <w:t xml:space="preserve">rehranu i </w:t>
      </w:r>
      <w:r w:rsidR="00FB08A6" w:rsidRPr="002B2ECE">
        <w:rPr>
          <w:rFonts w:asciiTheme="minorHAnsi" w:hAnsiTheme="minorHAnsi" w:cstheme="minorHAnsi"/>
          <w:color w:val="002060"/>
          <w:sz w:val="22"/>
          <w:szCs w:val="22"/>
        </w:rPr>
        <w:t>sm</w:t>
      </w:r>
      <w:r w:rsidR="00925613">
        <w:rPr>
          <w:rFonts w:asciiTheme="minorHAnsi" w:hAnsiTheme="minorHAnsi" w:cstheme="minorHAnsi"/>
          <w:color w:val="002060"/>
          <w:sz w:val="22"/>
          <w:szCs w:val="22"/>
        </w:rPr>
        <w:t>ještaj) planirani su u iznosima koji će biti ostvareni u 2019. osim prihoda iz ostalih izvora za Kulturu (europski projekti) koji nisu ostvareni u planiranim iznosima</w:t>
      </w:r>
    </w:p>
    <w:p w:rsidR="0083485E" w:rsidRPr="002B2ECE" w:rsidRDefault="0083485E" w:rsidP="0083485E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83485E" w:rsidRDefault="0083485E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341 – Prihodi od financijske imovine veći su od planiranih zbog većeg iznosa isplaćenih dividendi za dionice ZABA-R-A </w:t>
      </w:r>
    </w:p>
    <w:p w:rsidR="009157B9" w:rsidRPr="009157B9" w:rsidRDefault="009157B9" w:rsidP="009157B9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9157B9" w:rsidRPr="002B2ECE" w:rsidRDefault="009157B9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342 – Prihodi od nefinancijske imovine su prihodi od zakupa i iznajmljivanja i povećani su u odnosu na prvotni plan</w:t>
      </w:r>
      <w:r w:rsidR="002A79F8">
        <w:rPr>
          <w:rFonts w:asciiTheme="minorHAnsi" w:hAnsiTheme="minorHAnsi" w:cstheme="minorHAnsi"/>
          <w:color w:val="002060"/>
          <w:sz w:val="22"/>
          <w:szCs w:val="22"/>
        </w:rPr>
        <w:t xml:space="preserve"> zbog poduzetih aktivnosti da se raspoloživi prostori</w:t>
      </w:r>
      <w:r w:rsidR="002B4083">
        <w:rPr>
          <w:rFonts w:asciiTheme="minorHAnsi" w:hAnsiTheme="minorHAnsi" w:cstheme="minorHAnsi"/>
          <w:color w:val="002060"/>
          <w:sz w:val="22"/>
          <w:szCs w:val="22"/>
        </w:rPr>
        <w:t xml:space="preserve">, osobito oni kojima raspolaže djelatnost Kulture, </w:t>
      </w:r>
      <w:r w:rsidR="002A79F8">
        <w:rPr>
          <w:rFonts w:asciiTheme="minorHAnsi" w:hAnsiTheme="minorHAnsi" w:cstheme="minorHAnsi"/>
          <w:color w:val="002060"/>
          <w:sz w:val="22"/>
          <w:szCs w:val="22"/>
        </w:rPr>
        <w:t xml:space="preserve"> bolje i ra</w:t>
      </w:r>
      <w:r w:rsidR="00C1218A">
        <w:rPr>
          <w:rFonts w:asciiTheme="minorHAnsi" w:hAnsiTheme="minorHAnsi" w:cstheme="minorHAnsi"/>
          <w:color w:val="002060"/>
          <w:sz w:val="22"/>
          <w:szCs w:val="22"/>
        </w:rPr>
        <w:t>cionalnije iskoriste.</w:t>
      </w:r>
    </w:p>
    <w:p w:rsidR="00EA4D57" w:rsidRPr="002B2ECE" w:rsidRDefault="00EA4D57" w:rsidP="00EA4D57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EA4D57" w:rsidRPr="002B2ECE" w:rsidRDefault="00EA4D57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353 – Prihodi </w:t>
      </w:r>
      <w:r w:rsidR="0061297B">
        <w:rPr>
          <w:rFonts w:asciiTheme="minorHAnsi" w:hAnsiTheme="minorHAnsi" w:cstheme="minorHAnsi"/>
          <w:color w:val="002060"/>
          <w:sz w:val="22"/>
          <w:szCs w:val="22"/>
        </w:rPr>
        <w:t xml:space="preserve">od trgovačkih društava </w:t>
      </w:r>
      <w:r w:rsidRPr="002B2ECE">
        <w:rPr>
          <w:rFonts w:asciiTheme="minorHAnsi" w:hAnsiTheme="minorHAnsi" w:cstheme="minorHAnsi"/>
          <w:color w:val="002060"/>
          <w:sz w:val="22"/>
          <w:szCs w:val="22"/>
        </w:rPr>
        <w:t>i ost</w:t>
      </w:r>
      <w:r w:rsidR="00EA479F">
        <w:rPr>
          <w:rFonts w:asciiTheme="minorHAnsi" w:hAnsiTheme="minorHAnsi" w:cstheme="minorHAnsi"/>
          <w:color w:val="002060"/>
          <w:sz w:val="22"/>
          <w:szCs w:val="22"/>
        </w:rPr>
        <w:t xml:space="preserve">alih pravnih osoba </w:t>
      </w:r>
      <w:r w:rsidRPr="002B2ECE">
        <w:rPr>
          <w:rFonts w:asciiTheme="minorHAnsi" w:hAnsiTheme="minorHAnsi" w:cstheme="minorHAnsi"/>
          <w:color w:val="002060"/>
          <w:sz w:val="22"/>
          <w:szCs w:val="22"/>
        </w:rPr>
        <w:t>nisu ostvareni u planiranom iznosu</w:t>
      </w:r>
    </w:p>
    <w:p w:rsidR="003941C6" w:rsidRPr="002B2ECE" w:rsidRDefault="003941C6" w:rsidP="003941C6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3941C6" w:rsidRPr="002B2ECE" w:rsidRDefault="003941C6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355 – Ostali prihodi od donacija odnose se na donacije povezane s nefinancijskom imovinom koja se amortizira i koji se priznaju u bilanci kao odgođeni prihod uz priznavanje u prihode izvještajnog razdoblja razmjerno troškovima upotrebe nefinancijske imovine u razdoblju korištenja. </w:t>
      </w:r>
      <w:r w:rsidR="00763C0F" w:rsidRPr="002B2ECE">
        <w:rPr>
          <w:rFonts w:asciiTheme="minorHAnsi" w:hAnsiTheme="minorHAnsi" w:cstheme="minorHAnsi"/>
          <w:color w:val="002060"/>
          <w:sz w:val="22"/>
          <w:szCs w:val="22"/>
        </w:rPr>
        <w:t>U 2019. godini započelo je amortiziranje opreme nabavljene za opremanje restorana na Filozofskom fakultetu i restorana na Agronomiji i Šumarstvu, što će za cijelu godinu iznositi oko 770 tisuća kuna.</w:t>
      </w:r>
    </w:p>
    <w:p w:rsidR="00501826" w:rsidRPr="002B2ECE" w:rsidRDefault="00501826" w:rsidP="00501826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501826" w:rsidRDefault="00501826" w:rsidP="00CB48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363 – Ostali nespomenuti prihodi sastoje se od prihoda iz prošlih godina i ostalih prihoda. </w:t>
      </w:r>
      <w:r w:rsidR="009E10C1">
        <w:rPr>
          <w:rFonts w:asciiTheme="minorHAnsi" w:hAnsiTheme="minorHAnsi" w:cstheme="minorHAnsi"/>
          <w:color w:val="002060"/>
          <w:sz w:val="22"/>
          <w:szCs w:val="22"/>
        </w:rPr>
        <w:t>Iz prošlih godina priznato</w:t>
      </w:r>
      <w:r w:rsidR="00B01523">
        <w:rPr>
          <w:rFonts w:asciiTheme="minorHAnsi" w:hAnsiTheme="minorHAnsi" w:cstheme="minorHAnsi"/>
          <w:color w:val="002060"/>
          <w:sz w:val="22"/>
          <w:szCs w:val="22"/>
        </w:rPr>
        <w:t xml:space="preserve"> je 1,227 milijuna kuna </w:t>
      </w:r>
      <w:r w:rsidR="009E10C1">
        <w:rPr>
          <w:rFonts w:asciiTheme="minorHAnsi" w:hAnsiTheme="minorHAnsi" w:cstheme="minorHAnsi"/>
          <w:color w:val="002060"/>
          <w:sz w:val="22"/>
          <w:szCs w:val="22"/>
        </w:rPr>
        <w:t xml:space="preserve">prihoda </w:t>
      </w:r>
      <w:r w:rsidR="00B01523">
        <w:rPr>
          <w:rFonts w:asciiTheme="minorHAnsi" w:hAnsiTheme="minorHAnsi" w:cstheme="minorHAnsi"/>
          <w:color w:val="002060"/>
          <w:sz w:val="22"/>
          <w:szCs w:val="22"/>
        </w:rPr>
        <w:t xml:space="preserve">temeljem </w:t>
      </w:r>
      <w:r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 konfirmacije</w:t>
      </w:r>
      <w:r w:rsidR="00B01523">
        <w:rPr>
          <w:rFonts w:asciiTheme="minorHAnsi" w:hAnsiTheme="minorHAnsi" w:cstheme="minorHAnsi"/>
          <w:color w:val="002060"/>
          <w:sz w:val="22"/>
          <w:szCs w:val="22"/>
        </w:rPr>
        <w:t xml:space="preserve"> MZO-a</w:t>
      </w:r>
      <w:r w:rsidRPr="002B2ECE">
        <w:rPr>
          <w:rFonts w:asciiTheme="minorHAnsi" w:hAnsiTheme="minorHAnsi" w:cstheme="minorHAnsi"/>
          <w:color w:val="002060"/>
          <w:sz w:val="22"/>
          <w:szCs w:val="22"/>
        </w:rPr>
        <w:t>, a ostali prihodi su ostvareni u iznosu od 1,343 milijuna kuna i odnose se na sredstva</w:t>
      </w:r>
      <w:r w:rsidR="00B71D54" w:rsidRPr="002B2ECE">
        <w:rPr>
          <w:rFonts w:asciiTheme="minorHAnsi" w:hAnsiTheme="minorHAnsi" w:cstheme="minorHAnsi"/>
          <w:color w:val="002060"/>
          <w:sz w:val="22"/>
          <w:szCs w:val="22"/>
        </w:rPr>
        <w:t xml:space="preserve"> dobiv</w:t>
      </w:r>
      <w:r w:rsidR="001D1350">
        <w:rPr>
          <w:rFonts w:asciiTheme="minorHAnsi" w:hAnsiTheme="minorHAnsi" w:cstheme="minorHAnsi"/>
          <w:color w:val="002060"/>
          <w:sz w:val="22"/>
          <w:szCs w:val="22"/>
        </w:rPr>
        <w:t>ena po sudskoj presudi sa poduzećem</w:t>
      </w:r>
      <w:r w:rsidR="006C5FD2">
        <w:rPr>
          <w:rFonts w:asciiTheme="minorHAnsi" w:hAnsiTheme="minorHAnsi" w:cstheme="minorHAnsi"/>
          <w:color w:val="002060"/>
          <w:sz w:val="22"/>
          <w:szCs w:val="22"/>
        </w:rPr>
        <w:t xml:space="preserve"> SPAZ d.o.o.</w:t>
      </w:r>
    </w:p>
    <w:p w:rsidR="00A33A42" w:rsidRPr="00A33A42" w:rsidRDefault="00A33A42" w:rsidP="00A33A42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A33A42" w:rsidRPr="002B2ECE" w:rsidRDefault="00A33A42" w:rsidP="00A33A42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3941C6" w:rsidRPr="002B2ECE" w:rsidRDefault="003941C6" w:rsidP="003941C6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1A0FAC" w:rsidRPr="002B2ECE" w:rsidRDefault="001A0FAC">
      <w:pPr>
        <w:rPr>
          <w:rFonts w:asciiTheme="minorHAnsi" w:hAnsiTheme="minorHAnsi" w:cstheme="minorHAnsi"/>
          <w:sz w:val="22"/>
          <w:szCs w:val="22"/>
        </w:rPr>
      </w:pPr>
    </w:p>
    <w:p w:rsidR="001A0FAC" w:rsidRPr="002B2ECE" w:rsidRDefault="001A0FAC">
      <w:pPr>
        <w:rPr>
          <w:rFonts w:asciiTheme="minorHAnsi" w:hAnsiTheme="minorHAnsi" w:cstheme="minorHAnsi"/>
          <w:sz w:val="22"/>
          <w:szCs w:val="22"/>
        </w:rPr>
      </w:pPr>
    </w:p>
    <w:p w:rsidR="00390E39" w:rsidRPr="002B2ECE" w:rsidRDefault="00390E39">
      <w:pPr>
        <w:rPr>
          <w:rFonts w:asciiTheme="minorHAnsi" w:hAnsiTheme="minorHAnsi" w:cstheme="minorHAnsi"/>
          <w:sz w:val="22"/>
          <w:szCs w:val="22"/>
        </w:rPr>
      </w:pPr>
    </w:p>
    <w:p w:rsidR="00390E39" w:rsidRPr="002B2ECE" w:rsidRDefault="00390E39">
      <w:pPr>
        <w:rPr>
          <w:rFonts w:asciiTheme="minorHAnsi" w:hAnsiTheme="minorHAnsi" w:cstheme="minorHAnsi"/>
          <w:sz w:val="22"/>
          <w:szCs w:val="22"/>
        </w:rPr>
      </w:pPr>
    </w:p>
    <w:p w:rsidR="00390E39" w:rsidRDefault="00390E39"/>
    <w:p w:rsidR="00390E39" w:rsidRDefault="00390E39"/>
    <w:p w:rsidR="00390E39" w:rsidRDefault="00390E39"/>
    <w:p w:rsidR="00390E39" w:rsidRDefault="00390E39"/>
    <w:p w:rsidR="00390E39" w:rsidRDefault="00390E39"/>
    <w:p w:rsidR="00390E39" w:rsidRDefault="00390E39"/>
    <w:p w:rsidR="00390E39" w:rsidRDefault="00390E39"/>
    <w:p w:rsidR="00390E39" w:rsidRDefault="00390E39"/>
    <w:p w:rsidR="001A0FAC" w:rsidRDefault="001A0FAC"/>
    <w:p w:rsidR="00844B2E" w:rsidRDefault="00844B2E"/>
    <w:p w:rsidR="00844B2E" w:rsidRDefault="00844B2E"/>
    <w:p w:rsidR="00844B2E" w:rsidRPr="00844B2E" w:rsidRDefault="00BA472F">
      <w:pPr>
        <w:rPr>
          <w:b/>
          <w:color w:val="002060"/>
        </w:rPr>
      </w:pPr>
      <w:r>
        <w:rPr>
          <w:b/>
          <w:color w:val="002060"/>
        </w:rPr>
        <w:t>R</w:t>
      </w:r>
      <w:r w:rsidR="00844B2E" w:rsidRPr="00844B2E">
        <w:rPr>
          <w:b/>
          <w:color w:val="002060"/>
        </w:rPr>
        <w:t>ASHODI:</w:t>
      </w:r>
    </w:p>
    <w:p w:rsidR="00844B2E" w:rsidRDefault="00844B2E"/>
    <w:p w:rsidR="00844B2E" w:rsidRDefault="00844B2E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0"/>
        <w:gridCol w:w="687"/>
        <w:gridCol w:w="4625"/>
        <w:gridCol w:w="2011"/>
        <w:gridCol w:w="2001"/>
        <w:gridCol w:w="2027"/>
        <w:gridCol w:w="2001"/>
      </w:tblGrid>
      <w:tr w:rsidR="004471BA" w:rsidRPr="001A0FAC" w:rsidTr="00E918B1">
        <w:trPr>
          <w:trHeight w:val="1080"/>
        </w:trPr>
        <w:tc>
          <w:tcPr>
            <w:tcW w:w="477" w:type="pct"/>
            <w:gridSpan w:val="2"/>
            <w:vMerge w:val="restart"/>
            <w:noWrap/>
            <w:vAlign w:val="center"/>
            <w:hideMark/>
          </w:tcPr>
          <w:p w:rsidR="004471BA" w:rsidRPr="00A85716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Račun</w:t>
            </w:r>
          </w:p>
        </w:tc>
        <w:tc>
          <w:tcPr>
            <w:tcW w:w="1654" w:type="pct"/>
            <w:vMerge w:val="restart"/>
            <w:noWrap/>
            <w:vAlign w:val="center"/>
            <w:hideMark/>
          </w:tcPr>
          <w:p w:rsidR="004471BA" w:rsidRPr="00A85716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Naziv</w:t>
            </w:r>
          </w:p>
        </w:tc>
        <w:tc>
          <w:tcPr>
            <w:tcW w:w="720" w:type="pct"/>
            <w:vMerge w:val="restart"/>
            <w:noWrap/>
            <w:vAlign w:val="center"/>
            <w:hideMark/>
          </w:tcPr>
          <w:p w:rsidR="004471BA" w:rsidRPr="00A85716" w:rsidRDefault="007B5EA9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Plan za 2019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433" w:type="pct"/>
            <w:gridSpan w:val="2"/>
            <w:hideMark/>
          </w:tcPr>
          <w:p w:rsidR="004471BA" w:rsidRPr="00A85716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Izmjene i dopune  </w:t>
            </w: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br/>
              <w:t>povećanje/smanjenje</w:t>
            </w:r>
          </w:p>
        </w:tc>
        <w:tc>
          <w:tcPr>
            <w:tcW w:w="716" w:type="pct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4471BA" w:rsidRPr="00A85716" w:rsidRDefault="007B5EA9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Novi plan za 2019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</w:t>
            </w:r>
          </w:p>
        </w:tc>
      </w:tr>
      <w:tr w:rsidR="004471BA" w:rsidRPr="001A0FAC" w:rsidTr="00E918B1">
        <w:trPr>
          <w:trHeight w:val="312"/>
        </w:trPr>
        <w:tc>
          <w:tcPr>
            <w:tcW w:w="477" w:type="pct"/>
            <w:gridSpan w:val="2"/>
            <w:vMerge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54" w:type="pct"/>
            <w:vMerge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Merge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4471BA" w:rsidRPr="00A85716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povećanje</w:t>
            </w:r>
          </w:p>
        </w:tc>
        <w:tc>
          <w:tcPr>
            <w:tcW w:w="716" w:type="pct"/>
            <w:hideMark/>
          </w:tcPr>
          <w:p w:rsidR="004471BA" w:rsidRPr="00A85716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smanjenje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  <w:hideMark/>
          </w:tcPr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471BA" w:rsidRPr="001A0FAC" w:rsidTr="004471BA">
        <w:trPr>
          <w:trHeight w:val="36"/>
        </w:trPr>
        <w:tc>
          <w:tcPr>
            <w:tcW w:w="5000" w:type="pct"/>
            <w:gridSpan w:val="7"/>
            <w:noWrap/>
            <w:hideMark/>
          </w:tcPr>
          <w:p w:rsidR="004471BA" w:rsidRDefault="004471BA" w:rsidP="001A0F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4471BA" w:rsidRPr="0022103F" w:rsidRDefault="004471BA" w:rsidP="001A0FAC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</w:rPr>
            </w:pPr>
            <w:r w:rsidRPr="0022103F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</w:rPr>
              <w:t>RASHODI</w:t>
            </w:r>
          </w:p>
          <w:p w:rsidR="004471BA" w:rsidRPr="001A0FAC" w:rsidRDefault="004471BA" w:rsidP="001A0F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41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Rashodi za radnike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7F30D0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93.660.000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027EBC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2.389.000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027EBC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- 214.00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E1700F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95.835</w:t>
            </w:r>
            <w:r w:rsidR="007F30D0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411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Plaće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7F30D0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77.465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2D3C99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</w:t>
            </w:r>
            <w:r w:rsidR="007F30D0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.535.000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2D3C99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79</w:t>
            </w:r>
            <w:r w:rsidR="007F30D0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412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Ostali rashodi za radnike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7F30D0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2.946.000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6240AC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8</w:t>
            </w:r>
            <w:r w:rsidR="007F30D0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54.000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6240AC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3.8</w:t>
            </w:r>
            <w:r w:rsidR="007F30D0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413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Doprinosi na plaće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6A0B4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13.249.000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F446EB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192D6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- </w:t>
            </w:r>
            <w:r w:rsidR="00B378D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214.00</w:t>
            </w:r>
            <w:r w:rsidR="00BB65CA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192D6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13.035</w:t>
            </w:r>
            <w:r w:rsidR="006A0B47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42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Materijalni rashodi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F7268D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109.86</w:t>
            </w:r>
            <w:r w:rsidR="00124CA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2.100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285971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5.334.300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124CA9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217A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-</w:t>
            </w:r>
            <w:r w:rsidR="00C57523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76.900</w:t>
            </w:r>
            <w:r w:rsidR="00D217A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EE52B2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115.1</w:t>
            </w:r>
            <w:r w:rsidR="00412E97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19.5</w:t>
            </w:r>
            <w:r w:rsidR="00D217A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421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Naknade troškova zaposlenima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2675F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6.006.600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553BF4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408.90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2675F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2675F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6.415.500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423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Naknade volonterima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E7502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12.00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E7502F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12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</w:tr>
      <w:tr w:rsidR="00D42E37" w:rsidRPr="001A0FAC" w:rsidTr="00FB4756">
        <w:trPr>
          <w:trHeight w:val="471"/>
        </w:trPr>
        <w:tc>
          <w:tcPr>
            <w:tcW w:w="230" w:type="pct"/>
            <w:noWrap/>
          </w:tcPr>
          <w:p w:rsidR="00D42E37" w:rsidRPr="00A85716" w:rsidRDefault="00D42E37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</w:p>
        </w:tc>
        <w:tc>
          <w:tcPr>
            <w:tcW w:w="247" w:type="pct"/>
            <w:noWrap/>
          </w:tcPr>
          <w:p w:rsidR="00D42E37" w:rsidRPr="00A85716" w:rsidRDefault="00D42E37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424</w:t>
            </w:r>
          </w:p>
        </w:tc>
        <w:tc>
          <w:tcPr>
            <w:tcW w:w="1654" w:type="pct"/>
          </w:tcPr>
          <w:p w:rsidR="00D42E37" w:rsidRPr="00A85716" w:rsidRDefault="00D42E37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Naknada ostalim osobama</w:t>
            </w:r>
          </w:p>
        </w:tc>
        <w:tc>
          <w:tcPr>
            <w:tcW w:w="720" w:type="pct"/>
            <w:noWrap/>
          </w:tcPr>
          <w:p w:rsidR="00D42E37" w:rsidRPr="00A85716" w:rsidRDefault="00D42E3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</w:tcPr>
          <w:p w:rsidR="00D42E37" w:rsidRPr="00A85716" w:rsidRDefault="008C6DE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1.0</w:t>
            </w:r>
            <w:r w:rsidR="00D42E37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</w:t>
            </w:r>
          </w:p>
        </w:tc>
        <w:tc>
          <w:tcPr>
            <w:tcW w:w="716" w:type="pct"/>
            <w:noWrap/>
          </w:tcPr>
          <w:p w:rsidR="00D42E37" w:rsidRPr="00A85716" w:rsidRDefault="00D42E3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</w:tcPr>
          <w:p w:rsidR="00D42E37" w:rsidRPr="00A85716" w:rsidRDefault="008C6DE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1.0</w:t>
            </w:r>
            <w:r w:rsidR="00D42E37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425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Rashodi za usluge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417639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31.919.200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EE52B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3.2</w:t>
            </w:r>
            <w:r w:rsidR="00C3358F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10.8</w:t>
            </w:r>
            <w:r w:rsidR="00C15A27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EE52B2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35.1</w:t>
            </w:r>
            <w:r w:rsidR="00457FB1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30</w:t>
            </w:r>
            <w:r w:rsidR="00417639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426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Rashodi za materijal i energiju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B8089E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71.586.400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B8089E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1.713.600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B8089E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73.300.000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429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Ostali nespomenuti materijalni rashodi 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37636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337.900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352C6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- 76.90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37636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261.0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43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Rashodi amortizacije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E1209E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13.200.000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E1209E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1.000.000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E1209E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14.200.000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431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Amortizacija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3750E3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13.200.000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3750E3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1.000.000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3750E3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14.200.000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44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Financijski rashodi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991.700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91.30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1.083.000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443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Ostali financijski rashodi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991.700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91.30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C73CE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1.083.000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45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Donacije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933948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30.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000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72AF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3.0</w:t>
            </w:r>
            <w:r w:rsidR="00933948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00.00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C72AFA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3.0</w:t>
            </w:r>
            <w:r w:rsidR="00933948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30.000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451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Tekuće donacije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933948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.000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72AF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3.0</w:t>
            </w:r>
            <w:r w:rsidR="00933948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00.000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C72AFA" w:rsidP="00933948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                3.0</w:t>
            </w:r>
            <w:r w:rsidR="00933948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46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Ostali rashodi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B1056B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1.440.500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E3672B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2.709.500</w:t>
            </w:r>
            <w:r w:rsidR="00B1056B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E3672B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C65674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  </w:t>
            </w:r>
            <w:r w:rsidR="00931304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31304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- </w:t>
            </w:r>
            <w:r w:rsidR="007563C3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250</w:t>
            </w:r>
            <w:r w:rsidR="002F3768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7563C3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 3.900</w:t>
            </w:r>
            <w:r w:rsidR="00B1056B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461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Kazne, penali i naknade šteta</w:t>
            </w:r>
          </w:p>
        </w:tc>
        <w:tc>
          <w:tcPr>
            <w:tcW w:w="720" w:type="pct"/>
            <w:noWrap/>
            <w:hideMark/>
          </w:tcPr>
          <w:p w:rsidR="004471BA" w:rsidRPr="009269F5" w:rsidRDefault="00247B71" w:rsidP="009269F5">
            <w:pPr>
              <w:pStyle w:val="Odlomakpopisa"/>
              <w:ind w:left="690"/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      </w:t>
            </w:r>
            <w:r w:rsidR="009269F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350.000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9269F5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  <w:r w:rsidR="00B1056B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716" w:type="pct"/>
            <w:noWrap/>
            <w:hideMark/>
          </w:tcPr>
          <w:p w:rsidR="004471BA" w:rsidRPr="009269F5" w:rsidRDefault="009269F5" w:rsidP="009269F5">
            <w:pPr>
              <w:pStyle w:val="Odlomakpopisa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    -</w:t>
            </w:r>
            <w:r w:rsidR="00830B11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  <w:r w:rsidR="00496EE1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250</w:t>
            </w: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.000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496EE1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10</w:t>
            </w:r>
            <w:r w:rsidR="00B1056B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462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Ostali nespomenuti rashodi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9269F5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1.090.500</w:t>
            </w:r>
            <w:r w:rsidR="004471BA"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8247EC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2.709.500</w:t>
            </w:r>
            <w:r w:rsidR="009269F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D51CC3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  </w:t>
            </w:r>
            <w:r w:rsidR="009269F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3.800.000</w:t>
            </w:r>
          </w:p>
        </w:tc>
      </w:tr>
      <w:tr w:rsidR="004471BA" w:rsidRPr="001A0FAC" w:rsidTr="00FB4756">
        <w:trPr>
          <w:trHeight w:val="471"/>
        </w:trPr>
        <w:tc>
          <w:tcPr>
            <w:tcW w:w="230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47</w:t>
            </w:r>
          </w:p>
        </w:tc>
        <w:tc>
          <w:tcPr>
            <w:tcW w:w="247" w:type="pct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54" w:type="pct"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Rashodi fi</w:t>
            </w:r>
            <w:r w:rsidR="0020755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nanciranja povezanih </w:t>
            </w:r>
            <w:proofErr w:type="spellStart"/>
            <w:r w:rsidR="0020755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neprofit</w:t>
            </w:r>
            <w:proofErr w:type="spellEnd"/>
            <w:r w:rsidR="00207559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</w:t>
            </w:r>
            <w:r w:rsidR="00E91244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organ.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4471BA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 0</w:t>
            </w:r>
          </w:p>
        </w:tc>
      </w:tr>
      <w:tr w:rsidR="004471BA" w:rsidRPr="001A0FAC" w:rsidTr="00FB4756">
        <w:trPr>
          <w:trHeight w:val="525"/>
        </w:trPr>
        <w:tc>
          <w:tcPr>
            <w:tcW w:w="2131" w:type="pct"/>
            <w:gridSpan w:val="3"/>
            <w:noWrap/>
            <w:hideMark/>
          </w:tcPr>
          <w:p w:rsidR="004471BA" w:rsidRPr="00A85716" w:rsidRDefault="004471BA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UKUPNO RASHODI</w:t>
            </w:r>
          </w:p>
        </w:tc>
        <w:tc>
          <w:tcPr>
            <w:tcW w:w="720" w:type="pct"/>
            <w:noWrap/>
            <w:hideMark/>
          </w:tcPr>
          <w:p w:rsidR="004471BA" w:rsidRPr="00A85716" w:rsidRDefault="00B9521F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219.184.300</w:t>
            </w:r>
            <w:r w:rsidR="004471BA" w:rsidRPr="00A85716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CD1D08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14.524.100</w:t>
            </w:r>
          </w:p>
        </w:tc>
        <w:tc>
          <w:tcPr>
            <w:tcW w:w="716" w:type="pct"/>
            <w:noWrap/>
            <w:hideMark/>
          </w:tcPr>
          <w:p w:rsidR="004471BA" w:rsidRPr="00A85716" w:rsidRDefault="006616CB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- </w:t>
            </w:r>
            <w:r w:rsidR="00496EE1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540</w:t>
            </w:r>
            <w:r w:rsidR="00FF38BA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.90</w:t>
            </w:r>
            <w:r w:rsidR="00B9521F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EEAF6" w:themeFill="accent1" w:themeFillTint="33"/>
            <w:noWrap/>
            <w:hideMark/>
          </w:tcPr>
          <w:p w:rsidR="004471BA" w:rsidRPr="00A85716" w:rsidRDefault="00496EE1" w:rsidP="00653D69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233.16</w:t>
            </w:r>
            <w:r w:rsidR="006616CB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7</w:t>
            </w:r>
            <w:r w:rsidR="005A5E51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.5</w:t>
            </w:r>
            <w:r w:rsidR="00095DD3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00</w:t>
            </w:r>
          </w:p>
        </w:tc>
      </w:tr>
    </w:tbl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1A0FAC" w:rsidRPr="001A0FAC" w:rsidRDefault="001A0FAC" w:rsidP="001A0FA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045FB2" w:rsidRDefault="00045FB2" w:rsidP="00045FB2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A16DBC">
        <w:rPr>
          <w:rFonts w:asciiTheme="minorHAnsi" w:hAnsiTheme="minorHAnsi" w:cstheme="minorHAnsi"/>
          <w:color w:val="002060"/>
          <w:sz w:val="22"/>
          <w:szCs w:val="22"/>
        </w:rPr>
        <w:t>Obrazloženje financijski n</w:t>
      </w:r>
      <w:r>
        <w:rPr>
          <w:rFonts w:asciiTheme="minorHAnsi" w:hAnsiTheme="minorHAnsi" w:cstheme="minorHAnsi"/>
          <w:color w:val="002060"/>
          <w:sz w:val="22"/>
          <w:szCs w:val="22"/>
        </w:rPr>
        <w:t>ajznačajnijih odstupanja rashoda</w:t>
      </w:r>
      <w:r w:rsidRPr="00A16DBC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:rsidR="00045FB2" w:rsidRDefault="00045FB2" w:rsidP="00045FB2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045FB2" w:rsidRDefault="00045FB2" w:rsidP="00045FB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411 – P</w:t>
      </w:r>
      <w:r w:rsidR="00E22892">
        <w:rPr>
          <w:rFonts w:asciiTheme="minorHAnsi" w:hAnsiTheme="minorHAnsi" w:cstheme="minorHAnsi"/>
          <w:color w:val="002060"/>
          <w:sz w:val="22"/>
          <w:szCs w:val="22"/>
        </w:rPr>
        <w:t xml:space="preserve">laće (plaće za redovan rad i naknade za bolovanja do 42 dana) </w:t>
      </w:r>
      <w:r w:rsidR="00DA1A7D">
        <w:rPr>
          <w:rFonts w:asciiTheme="minorHAnsi" w:hAnsiTheme="minorHAnsi" w:cstheme="minorHAnsi"/>
          <w:color w:val="002060"/>
          <w:sz w:val="22"/>
          <w:szCs w:val="22"/>
        </w:rPr>
        <w:t>ve</w:t>
      </w:r>
      <w:r w:rsidR="00F03D22">
        <w:rPr>
          <w:rFonts w:asciiTheme="minorHAnsi" w:hAnsiTheme="minorHAnsi" w:cstheme="minorHAnsi"/>
          <w:color w:val="002060"/>
          <w:sz w:val="22"/>
          <w:szCs w:val="22"/>
        </w:rPr>
        <w:t>će su nego u prethodnoj godini. Razlika je nastala zbog godišnjeg povećanja postotka</w:t>
      </w:r>
      <w:r w:rsidR="00770DFE">
        <w:rPr>
          <w:rFonts w:asciiTheme="minorHAnsi" w:hAnsiTheme="minorHAnsi" w:cstheme="minorHAnsi"/>
          <w:color w:val="002060"/>
          <w:sz w:val="22"/>
          <w:szCs w:val="22"/>
        </w:rPr>
        <w:t xml:space="preserve"> za min</w:t>
      </w:r>
      <w:r w:rsidR="00410E7C">
        <w:rPr>
          <w:rFonts w:asciiTheme="minorHAnsi" w:hAnsiTheme="minorHAnsi" w:cstheme="minorHAnsi"/>
          <w:color w:val="002060"/>
          <w:sz w:val="22"/>
          <w:szCs w:val="22"/>
        </w:rPr>
        <w:t xml:space="preserve">uli rad svih zaposlenika, </w:t>
      </w:r>
      <w:r w:rsidR="00770DFE">
        <w:rPr>
          <w:rFonts w:asciiTheme="minorHAnsi" w:hAnsiTheme="minorHAnsi" w:cstheme="minorHAnsi"/>
          <w:color w:val="002060"/>
          <w:sz w:val="22"/>
          <w:szCs w:val="22"/>
        </w:rPr>
        <w:t>veće isplaćene stimulacije primarno</w:t>
      </w:r>
      <w:bookmarkStart w:id="0" w:name="_GoBack"/>
      <w:bookmarkEnd w:id="0"/>
      <w:r w:rsidR="00770DFE">
        <w:rPr>
          <w:rFonts w:asciiTheme="minorHAnsi" w:hAnsiTheme="minorHAnsi" w:cstheme="minorHAnsi"/>
          <w:color w:val="002060"/>
          <w:sz w:val="22"/>
          <w:szCs w:val="22"/>
        </w:rPr>
        <w:t xml:space="preserve"> ka</w:t>
      </w:r>
      <w:r w:rsidR="00851AA4">
        <w:rPr>
          <w:rFonts w:asciiTheme="minorHAnsi" w:hAnsiTheme="minorHAnsi" w:cstheme="minorHAnsi"/>
          <w:color w:val="002060"/>
          <w:sz w:val="22"/>
          <w:szCs w:val="22"/>
        </w:rPr>
        <w:t>o zamjena za privremeno odsutne radnike</w:t>
      </w:r>
      <w:r w:rsidR="00770DFE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F03D22">
        <w:rPr>
          <w:rFonts w:asciiTheme="minorHAnsi" w:hAnsiTheme="minorHAnsi" w:cstheme="minorHAnsi"/>
          <w:color w:val="002060"/>
          <w:sz w:val="22"/>
          <w:szCs w:val="22"/>
        </w:rPr>
        <w:t xml:space="preserve"> B</w:t>
      </w:r>
      <w:r w:rsidR="009C648F">
        <w:rPr>
          <w:rFonts w:asciiTheme="minorHAnsi" w:hAnsiTheme="minorHAnsi" w:cstheme="minorHAnsi"/>
          <w:color w:val="002060"/>
          <w:sz w:val="22"/>
          <w:szCs w:val="22"/>
        </w:rPr>
        <w:t xml:space="preserve">olovanje na teret poslodavca </w:t>
      </w:r>
      <w:r w:rsidR="00851AA4">
        <w:rPr>
          <w:rFonts w:asciiTheme="minorHAnsi" w:hAnsiTheme="minorHAnsi" w:cstheme="minorHAnsi"/>
          <w:color w:val="002060"/>
          <w:sz w:val="22"/>
          <w:szCs w:val="22"/>
        </w:rPr>
        <w:t>koje</w:t>
      </w:r>
      <w:r w:rsidR="00F03D22">
        <w:rPr>
          <w:rFonts w:asciiTheme="minorHAnsi" w:hAnsiTheme="minorHAnsi" w:cstheme="minorHAnsi"/>
          <w:color w:val="002060"/>
          <w:sz w:val="22"/>
          <w:szCs w:val="22"/>
        </w:rPr>
        <w:t xml:space="preserve"> se evidentira na ovoj skupini konta </w:t>
      </w:r>
      <w:r w:rsidR="009C648F">
        <w:rPr>
          <w:rFonts w:asciiTheme="minorHAnsi" w:hAnsiTheme="minorHAnsi" w:cstheme="minorHAnsi"/>
          <w:color w:val="002060"/>
          <w:sz w:val="22"/>
          <w:szCs w:val="22"/>
        </w:rPr>
        <w:t>u 2019. godin</w:t>
      </w:r>
      <w:r w:rsidR="00497C58">
        <w:rPr>
          <w:rFonts w:asciiTheme="minorHAnsi" w:hAnsiTheme="minorHAnsi" w:cstheme="minorHAnsi"/>
          <w:color w:val="002060"/>
          <w:sz w:val="22"/>
          <w:szCs w:val="22"/>
        </w:rPr>
        <w:t xml:space="preserve">i iznosit će </w:t>
      </w:r>
      <w:r w:rsidR="00770DFE">
        <w:rPr>
          <w:rFonts w:asciiTheme="minorHAnsi" w:hAnsiTheme="minorHAnsi" w:cstheme="minorHAnsi"/>
          <w:color w:val="002060"/>
          <w:sz w:val="22"/>
          <w:szCs w:val="22"/>
        </w:rPr>
        <w:t>oko 2,75 milijuna kuna.</w:t>
      </w:r>
    </w:p>
    <w:p w:rsidR="00DA1A7D" w:rsidRDefault="00DA1A7D" w:rsidP="00DA1A7D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DA1A7D" w:rsidRDefault="00DA1A7D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412 – Ostali rashodi za radnike (jubilarne nagrade, otpremnine, naknade za bolest</w:t>
      </w:r>
      <w:r w:rsidR="0019088D">
        <w:rPr>
          <w:rFonts w:asciiTheme="minorHAnsi" w:hAnsiTheme="minorHAnsi" w:cstheme="minorHAnsi"/>
          <w:color w:val="002060"/>
          <w:sz w:val="22"/>
          <w:szCs w:val="22"/>
        </w:rPr>
        <w:t xml:space="preserve"> i invalidnost</w:t>
      </w:r>
      <w:r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19088D">
        <w:rPr>
          <w:rFonts w:asciiTheme="minorHAnsi" w:hAnsiTheme="minorHAnsi" w:cstheme="minorHAnsi"/>
          <w:color w:val="002060"/>
          <w:sz w:val="22"/>
          <w:szCs w:val="22"/>
        </w:rPr>
        <w:t xml:space="preserve"> naknada za neprekidno bolovanje, </w:t>
      </w:r>
      <w:r>
        <w:rPr>
          <w:rFonts w:asciiTheme="minorHAnsi" w:hAnsiTheme="minorHAnsi" w:cstheme="minorHAnsi"/>
          <w:color w:val="002060"/>
          <w:sz w:val="22"/>
          <w:szCs w:val="22"/>
        </w:rPr>
        <w:t>regres</w:t>
      </w:r>
      <w:r w:rsidR="0019088D">
        <w:rPr>
          <w:rFonts w:asciiTheme="minorHAnsi" w:hAnsiTheme="minorHAnsi" w:cstheme="minorHAnsi"/>
          <w:color w:val="002060"/>
          <w:sz w:val="22"/>
          <w:szCs w:val="22"/>
        </w:rPr>
        <w:t xml:space="preserve"> za godišnji odmor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2060"/>
          <w:sz w:val="22"/>
          <w:szCs w:val="22"/>
        </w:rPr>
        <w:t>Uskrsnica</w:t>
      </w:r>
      <w:proofErr w:type="spellEnd"/>
      <w:r>
        <w:rPr>
          <w:rFonts w:asciiTheme="minorHAnsi" w:hAnsiTheme="minorHAnsi" w:cstheme="minorHAnsi"/>
          <w:color w:val="002060"/>
          <w:sz w:val="22"/>
          <w:szCs w:val="22"/>
        </w:rPr>
        <w:t>, Božićnica,</w:t>
      </w:r>
      <w:r w:rsidR="0019088D">
        <w:rPr>
          <w:rFonts w:asciiTheme="minorHAnsi" w:hAnsiTheme="minorHAnsi" w:cstheme="minorHAnsi"/>
          <w:color w:val="002060"/>
          <w:sz w:val="22"/>
          <w:szCs w:val="22"/>
        </w:rPr>
        <w:t xml:space="preserve"> dar djeci radnika) povećani su zbog većeg </w:t>
      </w:r>
      <w:r w:rsidR="002B1843">
        <w:rPr>
          <w:rFonts w:asciiTheme="minorHAnsi" w:hAnsiTheme="minorHAnsi" w:cstheme="minorHAnsi"/>
          <w:color w:val="002060"/>
          <w:sz w:val="22"/>
          <w:szCs w:val="22"/>
        </w:rPr>
        <w:t xml:space="preserve">isplaćenog iznosa za </w:t>
      </w:r>
      <w:r w:rsidR="00DD0A12">
        <w:rPr>
          <w:rFonts w:asciiTheme="minorHAnsi" w:hAnsiTheme="minorHAnsi" w:cstheme="minorHAnsi"/>
          <w:color w:val="002060"/>
          <w:sz w:val="22"/>
          <w:szCs w:val="22"/>
        </w:rPr>
        <w:t>regres i B</w:t>
      </w:r>
      <w:r w:rsidR="0019088D">
        <w:rPr>
          <w:rFonts w:asciiTheme="minorHAnsi" w:hAnsiTheme="minorHAnsi" w:cstheme="minorHAnsi"/>
          <w:color w:val="002060"/>
          <w:sz w:val="22"/>
          <w:szCs w:val="22"/>
        </w:rPr>
        <w:t>ožićnicu.</w:t>
      </w:r>
    </w:p>
    <w:p w:rsidR="009C648F" w:rsidRPr="009C648F" w:rsidRDefault="009C648F" w:rsidP="009C648F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9C648F" w:rsidRDefault="009C648F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421 – Naknade troškova zaposlenima (dnevnice za službeni put, smještaj na službenom putu, naknada za prijevoz na rad i sa rada, stručno usavršavanje radnika) veće su zbog povećanih troškova za prijevoz na rad i sa rada.</w:t>
      </w:r>
      <w:r w:rsidR="005D311D">
        <w:rPr>
          <w:rFonts w:asciiTheme="minorHAnsi" w:hAnsiTheme="minorHAnsi" w:cstheme="minorHAnsi"/>
          <w:color w:val="002060"/>
          <w:sz w:val="22"/>
          <w:szCs w:val="22"/>
        </w:rPr>
        <w:t xml:space="preserve"> Velik broj radnika koristi i međugradski prijevoz.</w:t>
      </w:r>
    </w:p>
    <w:p w:rsidR="00C77463" w:rsidRPr="00C77463" w:rsidRDefault="00C77463" w:rsidP="00C77463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EF720F" w:rsidRDefault="00C77463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425 – Rashodi za usluge </w:t>
      </w:r>
      <w:r w:rsidR="004E14CB">
        <w:rPr>
          <w:rFonts w:asciiTheme="minorHAnsi" w:hAnsiTheme="minorHAnsi" w:cstheme="minorHAnsi"/>
          <w:color w:val="002060"/>
          <w:sz w:val="22"/>
          <w:szCs w:val="22"/>
        </w:rPr>
        <w:t>(usluge tekućeg i investicijskog održavanja, komunalne usluge, intelektualne i osobne, računalne, zdravstvene i veterinarske,  usluge telefona</w:t>
      </w:r>
      <w:r w:rsidR="005021A7">
        <w:rPr>
          <w:rFonts w:asciiTheme="minorHAnsi" w:hAnsiTheme="minorHAnsi" w:cstheme="minorHAnsi"/>
          <w:color w:val="002060"/>
          <w:sz w:val="22"/>
          <w:szCs w:val="22"/>
        </w:rPr>
        <w:t>, pošte i prijevoza te</w:t>
      </w:r>
      <w:r w:rsidR="004E14CB">
        <w:rPr>
          <w:rFonts w:asciiTheme="minorHAnsi" w:hAnsiTheme="minorHAnsi" w:cstheme="minorHAnsi"/>
          <w:color w:val="002060"/>
          <w:sz w:val="22"/>
          <w:szCs w:val="22"/>
        </w:rPr>
        <w:t xml:space="preserve"> ostale usluge)</w:t>
      </w:r>
      <w:r w:rsidR="005021A7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4E14CB">
        <w:rPr>
          <w:rFonts w:asciiTheme="minorHAnsi" w:hAnsiTheme="minorHAnsi" w:cstheme="minorHAnsi"/>
          <w:color w:val="002060"/>
          <w:sz w:val="22"/>
          <w:szCs w:val="22"/>
        </w:rPr>
        <w:t xml:space="preserve">veće </w:t>
      </w:r>
      <w:r w:rsidR="005D311D">
        <w:rPr>
          <w:rFonts w:asciiTheme="minorHAnsi" w:hAnsiTheme="minorHAnsi" w:cstheme="minorHAnsi"/>
          <w:color w:val="002060"/>
          <w:sz w:val="22"/>
          <w:szCs w:val="22"/>
        </w:rPr>
        <w:t>su od planiranih za gotovo 3 milijuna kuna.</w:t>
      </w:r>
      <w:r w:rsidR="000B5198">
        <w:rPr>
          <w:rFonts w:asciiTheme="minorHAnsi" w:hAnsiTheme="minorHAnsi" w:cstheme="minorHAnsi"/>
          <w:color w:val="002060"/>
          <w:sz w:val="22"/>
          <w:szCs w:val="22"/>
        </w:rPr>
        <w:t xml:space="preserve"> Najveći rast je na trošku teku</w:t>
      </w:r>
      <w:r w:rsidR="009E3A7D">
        <w:rPr>
          <w:rFonts w:asciiTheme="minorHAnsi" w:hAnsiTheme="minorHAnsi" w:cstheme="minorHAnsi"/>
          <w:color w:val="002060"/>
          <w:sz w:val="22"/>
          <w:szCs w:val="22"/>
        </w:rPr>
        <w:t>ć</w:t>
      </w:r>
      <w:r w:rsidR="00BD1225">
        <w:rPr>
          <w:rFonts w:asciiTheme="minorHAnsi" w:hAnsiTheme="minorHAnsi" w:cstheme="minorHAnsi"/>
          <w:color w:val="002060"/>
          <w:sz w:val="22"/>
          <w:szCs w:val="22"/>
        </w:rPr>
        <w:t xml:space="preserve">eg i investicijskog održavanja - </w:t>
      </w:r>
      <w:r w:rsidR="009E3A7D">
        <w:rPr>
          <w:rFonts w:asciiTheme="minorHAnsi" w:hAnsiTheme="minorHAnsi" w:cstheme="minorHAnsi"/>
          <w:color w:val="002060"/>
          <w:sz w:val="22"/>
          <w:szCs w:val="22"/>
        </w:rPr>
        <w:t xml:space="preserve">više od 2,2 milijuna kuna. </w:t>
      </w:r>
      <w:r w:rsidR="00CF2589">
        <w:rPr>
          <w:rFonts w:asciiTheme="minorHAnsi" w:hAnsiTheme="minorHAnsi" w:cstheme="minorHAnsi"/>
          <w:color w:val="002060"/>
          <w:sz w:val="22"/>
          <w:szCs w:val="22"/>
        </w:rPr>
        <w:t>Izvršeni</w:t>
      </w:r>
      <w:r w:rsidR="00331876">
        <w:rPr>
          <w:rFonts w:asciiTheme="minorHAnsi" w:hAnsiTheme="minorHAnsi" w:cstheme="minorHAnsi"/>
          <w:color w:val="002060"/>
          <w:sz w:val="22"/>
          <w:szCs w:val="22"/>
        </w:rPr>
        <w:t xml:space="preserve"> su građevinski, obrtnički i soboslikarski radovi na objektima, sanacija kosih krovova, rekonstrukcija vodovodne i </w:t>
      </w:r>
      <w:proofErr w:type="spellStart"/>
      <w:r w:rsidR="00331876">
        <w:rPr>
          <w:rFonts w:asciiTheme="minorHAnsi" w:hAnsiTheme="minorHAnsi" w:cstheme="minorHAnsi"/>
          <w:color w:val="002060"/>
          <w:sz w:val="22"/>
          <w:szCs w:val="22"/>
        </w:rPr>
        <w:t>elektro</w:t>
      </w:r>
      <w:proofErr w:type="spellEnd"/>
      <w:r w:rsidR="00267A5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31876">
        <w:rPr>
          <w:rFonts w:asciiTheme="minorHAnsi" w:hAnsiTheme="minorHAnsi" w:cstheme="minorHAnsi"/>
          <w:color w:val="002060"/>
          <w:sz w:val="22"/>
          <w:szCs w:val="22"/>
        </w:rPr>
        <w:t>-instalacije, izgradnja žičane ograde na Š</w:t>
      </w:r>
      <w:r w:rsidR="00086A79">
        <w:rPr>
          <w:rFonts w:asciiTheme="minorHAnsi" w:hAnsiTheme="minorHAnsi" w:cstheme="minorHAnsi"/>
          <w:color w:val="002060"/>
          <w:sz w:val="22"/>
          <w:szCs w:val="22"/>
        </w:rPr>
        <w:t xml:space="preserve">ari, izgradnja nadstrešnica </w:t>
      </w:r>
      <w:r w:rsidR="00EF720F">
        <w:rPr>
          <w:rFonts w:asciiTheme="minorHAnsi" w:hAnsiTheme="minorHAnsi" w:cstheme="minorHAnsi"/>
          <w:color w:val="002060"/>
          <w:sz w:val="22"/>
          <w:szCs w:val="22"/>
        </w:rPr>
        <w:t xml:space="preserve">...                                                                                                          </w:t>
      </w:r>
    </w:p>
    <w:p w:rsidR="00EF720F" w:rsidRDefault="00EF720F" w:rsidP="00EF720F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       U</w:t>
      </w:r>
      <w:r w:rsidRPr="00EF720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C09D2" w:rsidRPr="00EF720F">
        <w:rPr>
          <w:rFonts w:asciiTheme="minorHAnsi" w:hAnsiTheme="minorHAnsi" w:cstheme="minorHAnsi"/>
          <w:color w:val="002060"/>
          <w:sz w:val="22"/>
          <w:szCs w:val="22"/>
        </w:rPr>
        <w:t xml:space="preserve">ovoj skupini su povećani i troškovi komunalnih usluga, u prošloj </w:t>
      </w:r>
      <w:r w:rsidR="00B70698">
        <w:rPr>
          <w:rFonts w:asciiTheme="minorHAnsi" w:hAnsiTheme="minorHAnsi" w:cstheme="minorHAnsi"/>
          <w:color w:val="002060"/>
          <w:sz w:val="22"/>
          <w:szCs w:val="22"/>
        </w:rPr>
        <w:t xml:space="preserve">su </w:t>
      </w:r>
      <w:r w:rsidR="00FC09D2" w:rsidRPr="00EF720F">
        <w:rPr>
          <w:rFonts w:asciiTheme="minorHAnsi" w:hAnsiTheme="minorHAnsi" w:cstheme="minorHAnsi"/>
          <w:color w:val="002060"/>
          <w:sz w:val="22"/>
          <w:szCs w:val="22"/>
        </w:rPr>
        <w:t xml:space="preserve">godini </w:t>
      </w:r>
      <w:r w:rsidR="00B70698">
        <w:rPr>
          <w:rFonts w:asciiTheme="minorHAnsi" w:hAnsiTheme="minorHAnsi" w:cstheme="minorHAnsi"/>
          <w:color w:val="002060"/>
          <w:sz w:val="22"/>
          <w:szCs w:val="22"/>
        </w:rPr>
        <w:t xml:space="preserve">bili </w:t>
      </w:r>
      <w:r w:rsidR="00FC09D2" w:rsidRPr="00EF720F">
        <w:rPr>
          <w:rFonts w:asciiTheme="minorHAnsi" w:hAnsiTheme="minorHAnsi" w:cstheme="minorHAnsi"/>
          <w:color w:val="002060"/>
          <w:sz w:val="22"/>
          <w:szCs w:val="22"/>
        </w:rPr>
        <w:t>1,248 milijuna kuna, u ovoj oko 2,5 miliju</w:t>
      </w:r>
      <w:r w:rsidR="00B70698">
        <w:rPr>
          <w:rFonts w:asciiTheme="minorHAnsi" w:hAnsiTheme="minorHAnsi" w:cstheme="minorHAnsi"/>
          <w:color w:val="002060"/>
          <w:sz w:val="22"/>
          <w:szCs w:val="22"/>
        </w:rPr>
        <w:t xml:space="preserve">na kuna. Povećanje se odnosi </w:t>
      </w:r>
    </w:p>
    <w:p w:rsidR="00C77463" w:rsidRPr="00EF720F" w:rsidRDefault="00EF720F" w:rsidP="00EF720F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       </w:t>
      </w:r>
      <w:r w:rsidR="00EB7469">
        <w:rPr>
          <w:rFonts w:asciiTheme="minorHAnsi" w:hAnsiTheme="minorHAnsi" w:cstheme="minorHAnsi"/>
          <w:color w:val="002060"/>
          <w:sz w:val="22"/>
          <w:szCs w:val="22"/>
        </w:rPr>
        <w:t xml:space="preserve">na </w:t>
      </w:r>
      <w:r w:rsidR="00FC09D2" w:rsidRPr="00EF720F">
        <w:rPr>
          <w:rFonts w:asciiTheme="minorHAnsi" w:hAnsiTheme="minorHAnsi" w:cstheme="minorHAnsi"/>
          <w:color w:val="002060"/>
          <w:sz w:val="22"/>
          <w:szCs w:val="22"/>
        </w:rPr>
        <w:t>nakna</w:t>
      </w:r>
      <w:r w:rsidR="00A75024">
        <w:rPr>
          <w:rFonts w:asciiTheme="minorHAnsi" w:hAnsiTheme="minorHAnsi" w:cstheme="minorHAnsi"/>
          <w:color w:val="002060"/>
          <w:sz w:val="22"/>
          <w:szCs w:val="22"/>
        </w:rPr>
        <w:t xml:space="preserve">du za uređenje voda </w:t>
      </w:r>
      <w:r w:rsidR="00FC09D2" w:rsidRPr="00EF720F">
        <w:rPr>
          <w:rFonts w:asciiTheme="minorHAnsi" w:hAnsiTheme="minorHAnsi" w:cstheme="minorHAnsi"/>
          <w:color w:val="002060"/>
          <w:sz w:val="22"/>
          <w:szCs w:val="22"/>
        </w:rPr>
        <w:t>zbog razvrstavanju u viši tarifni razred.</w:t>
      </w:r>
    </w:p>
    <w:p w:rsidR="00FC09D2" w:rsidRPr="00FC09D2" w:rsidRDefault="00FC09D2" w:rsidP="00FC09D2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FC09D2" w:rsidRDefault="009C51EF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426 – Rashod za materijal i energiju </w:t>
      </w:r>
      <w:r w:rsidR="00C649EC">
        <w:rPr>
          <w:rFonts w:asciiTheme="minorHAnsi" w:hAnsiTheme="minorHAnsi" w:cstheme="minorHAnsi"/>
          <w:color w:val="002060"/>
          <w:sz w:val="22"/>
          <w:szCs w:val="22"/>
        </w:rPr>
        <w:t>(</w:t>
      </w:r>
      <w:r w:rsidR="00C44CEB">
        <w:rPr>
          <w:rFonts w:asciiTheme="minorHAnsi" w:hAnsiTheme="minorHAnsi" w:cstheme="minorHAnsi"/>
          <w:color w:val="002060"/>
          <w:sz w:val="22"/>
          <w:szCs w:val="22"/>
        </w:rPr>
        <w:t xml:space="preserve">sirovine i materijal, energija, sitni inventar i HTZ oprema, uredski materijal) povećani su </w:t>
      </w:r>
      <w:r w:rsidR="00F55DE9">
        <w:rPr>
          <w:rFonts w:asciiTheme="minorHAnsi" w:hAnsiTheme="minorHAnsi" w:cstheme="minorHAnsi"/>
          <w:color w:val="002060"/>
          <w:sz w:val="22"/>
          <w:szCs w:val="22"/>
        </w:rPr>
        <w:t>zbog nabave HTZ opreme u iznosu od 1.757.650 kn (u 2018. godini 58.000 kn).</w:t>
      </w:r>
    </w:p>
    <w:p w:rsidR="00516072" w:rsidRDefault="00516072" w:rsidP="00516072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516072" w:rsidRDefault="00337E26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43 – Rashodi amortizacije su veći zbog početka amortizacije opreme na novim restoranima i novonabavljene dugotrajne imovine za ukupni Studentski centar.</w:t>
      </w:r>
    </w:p>
    <w:p w:rsidR="00C30E93" w:rsidRPr="00C30E93" w:rsidRDefault="00C30E93" w:rsidP="00C30E93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C30E93" w:rsidRDefault="00C30E93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45 – Donacije – u ovoj skupini konta otvoren je konto s nazivom „Donacije temeljem naknade 0,5 %“</w:t>
      </w:r>
      <w:r w:rsidR="000E6816">
        <w:rPr>
          <w:rFonts w:asciiTheme="minorHAnsi" w:hAnsiTheme="minorHAnsi" w:cstheme="minorHAnsi"/>
          <w:color w:val="002060"/>
          <w:sz w:val="22"/>
          <w:szCs w:val="22"/>
        </w:rPr>
        <w:t>. Iako je izvjesno da Studentski centar u Zagrebu neće u 2019. godini raspodijeliti sva sredstva (oko 3 milijuna kuna) za studentske aktivnosti / projekte, stavljanjem cje</w:t>
      </w:r>
      <w:r w:rsidR="00476E30">
        <w:rPr>
          <w:rFonts w:asciiTheme="minorHAnsi" w:hAnsiTheme="minorHAnsi" w:cstheme="minorHAnsi"/>
          <w:color w:val="002060"/>
          <w:sz w:val="22"/>
          <w:szCs w:val="22"/>
        </w:rPr>
        <w:t xml:space="preserve">lokupnog iznosa na trošak, anulira se </w:t>
      </w:r>
      <w:r w:rsidR="000E6816">
        <w:rPr>
          <w:rFonts w:asciiTheme="minorHAnsi" w:hAnsiTheme="minorHAnsi" w:cstheme="minorHAnsi"/>
          <w:color w:val="002060"/>
          <w:sz w:val="22"/>
          <w:szCs w:val="22"/>
        </w:rPr>
        <w:t>prihod sa konta 321110 (Naknada od 0,5% za studentske aktivnosti)</w:t>
      </w:r>
      <w:r w:rsidR="0029067C">
        <w:rPr>
          <w:rFonts w:asciiTheme="minorHAnsi" w:hAnsiTheme="minorHAnsi" w:cstheme="minorHAnsi"/>
          <w:color w:val="002060"/>
          <w:sz w:val="22"/>
          <w:szCs w:val="22"/>
        </w:rPr>
        <w:t xml:space="preserve"> i utjecaj na financijski rezultat 2019. godine</w:t>
      </w:r>
    </w:p>
    <w:p w:rsidR="005D5FD5" w:rsidRPr="005D5FD5" w:rsidRDefault="005D5FD5" w:rsidP="005D5FD5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5D5FD5" w:rsidRDefault="005D5FD5" w:rsidP="00DA1A7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462 – Ostali nespomenuti rashodi (otpisana potraživanja, otpis i ispravak vrijednosti nenaplaćenih potraživanja, </w:t>
      </w:r>
      <w:r w:rsidR="00335E86">
        <w:rPr>
          <w:rFonts w:asciiTheme="minorHAnsi" w:hAnsiTheme="minorHAnsi" w:cstheme="minorHAnsi"/>
          <w:color w:val="002060"/>
          <w:sz w:val="22"/>
          <w:szCs w:val="22"/>
        </w:rPr>
        <w:t>troškovi iz proteklih godina, otpis i manjkovi sirovina i materijala, trošak PDV-a na manjkove…)</w:t>
      </w:r>
      <w:r w:rsidR="005A4F06">
        <w:rPr>
          <w:rFonts w:asciiTheme="minorHAnsi" w:hAnsiTheme="minorHAnsi" w:cstheme="minorHAnsi"/>
          <w:color w:val="002060"/>
          <w:sz w:val="22"/>
          <w:szCs w:val="22"/>
        </w:rPr>
        <w:t xml:space="preserve">, povećani su </w:t>
      </w:r>
      <w:r w:rsidR="00864310">
        <w:rPr>
          <w:rFonts w:asciiTheme="minorHAnsi" w:hAnsiTheme="minorHAnsi" w:cstheme="minorHAnsi"/>
          <w:color w:val="002060"/>
          <w:sz w:val="22"/>
          <w:szCs w:val="22"/>
        </w:rPr>
        <w:t xml:space="preserve">uglavnom </w:t>
      </w:r>
      <w:r w:rsidR="005A4F06">
        <w:rPr>
          <w:rFonts w:asciiTheme="minorHAnsi" w:hAnsiTheme="minorHAnsi" w:cstheme="minorHAnsi"/>
          <w:color w:val="002060"/>
          <w:sz w:val="22"/>
          <w:szCs w:val="22"/>
        </w:rPr>
        <w:t xml:space="preserve">zbog otpisanih potraživanja Student servisa u dijelu koji je vezan za interne fakture (1,001 milijun kn), troškove iz prethodnih godina koji se odnose na Rješenja Hrvatskih voda za naknadu za uređenje voda što su </w:t>
      </w:r>
      <w:r w:rsidR="00864310">
        <w:rPr>
          <w:rFonts w:asciiTheme="minorHAnsi" w:hAnsiTheme="minorHAnsi" w:cstheme="minorHAnsi"/>
          <w:color w:val="002060"/>
          <w:sz w:val="22"/>
          <w:szCs w:val="22"/>
        </w:rPr>
        <w:t xml:space="preserve">ih </w:t>
      </w:r>
      <w:r w:rsidR="005A4F06">
        <w:rPr>
          <w:rFonts w:asciiTheme="minorHAnsi" w:hAnsiTheme="minorHAnsi" w:cstheme="minorHAnsi"/>
          <w:color w:val="002060"/>
          <w:sz w:val="22"/>
          <w:szCs w:val="22"/>
        </w:rPr>
        <w:t>obračunali</w:t>
      </w:r>
      <w:r w:rsidR="00864310">
        <w:rPr>
          <w:rFonts w:asciiTheme="minorHAnsi" w:hAnsiTheme="minorHAnsi" w:cstheme="minorHAnsi"/>
          <w:color w:val="002060"/>
          <w:sz w:val="22"/>
          <w:szCs w:val="22"/>
        </w:rPr>
        <w:t xml:space="preserve"> retroaktivno za 2018. godinu</w:t>
      </w:r>
      <w:r w:rsidR="005A4F06">
        <w:rPr>
          <w:rFonts w:asciiTheme="minorHAnsi" w:hAnsiTheme="minorHAnsi" w:cstheme="minorHAnsi"/>
          <w:color w:val="002060"/>
          <w:sz w:val="22"/>
          <w:szCs w:val="22"/>
        </w:rPr>
        <w:t xml:space="preserve"> po višoj tarifi (1,03 milijuna kuna)</w:t>
      </w:r>
      <w:r w:rsidR="009060A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516072" w:rsidRDefault="00516072" w:rsidP="00516072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516072" w:rsidRPr="00516072" w:rsidRDefault="00516072" w:rsidP="00516072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516072" w:rsidRDefault="00516072" w:rsidP="00516072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516072" w:rsidRDefault="00516072" w:rsidP="00516072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FC09D2" w:rsidRPr="00FC09D2" w:rsidRDefault="00FC09D2" w:rsidP="00FC09D2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DA1A7D" w:rsidRPr="00045FB2" w:rsidRDefault="00DA1A7D" w:rsidP="00DA1A7D">
      <w:pPr>
        <w:pStyle w:val="Odlomakpopisa"/>
        <w:rPr>
          <w:rFonts w:asciiTheme="minorHAnsi" w:hAnsiTheme="minorHAnsi" w:cstheme="minorHAnsi"/>
          <w:color w:val="002060"/>
          <w:sz w:val="22"/>
          <w:szCs w:val="22"/>
        </w:rPr>
      </w:pPr>
    </w:p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Default="001A0FAC"/>
    <w:p w:rsidR="001A0FAC" w:rsidRPr="000447AF" w:rsidRDefault="008D277B">
      <w:pPr>
        <w:rPr>
          <w:b/>
          <w:color w:val="002060"/>
        </w:rPr>
      </w:pPr>
      <w:r w:rsidRPr="000447AF">
        <w:rPr>
          <w:b/>
          <w:color w:val="002060"/>
        </w:rPr>
        <w:t>REZULTAT POSLOVANJA:</w:t>
      </w:r>
    </w:p>
    <w:p w:rsidR="001A0FAC" w:rsidRDefault="001A0FAC"/>
    <w:p w:rsidR="001A0FAC" w:rsidRDefault="001A0FAC"/>
    <w:p w:rsidR="001A0FAC" w:rsidRDefault="001A0FAC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4189"/>
        <w:gridCol w:w="1798"/>
        <w:gridCol w:w="1789"/>
        <w:gridCol w:w="1798"/>
        <w:gridCol w:w="1789"/>
      </w:tblGrid>
      <w:tr w:rsidR="00685DB7" w:rsidRPr="001A0FAC" w:rsidTr="008D277B">
        <w:trPr>
          <w:trHeight w:val="480"/>
          <w:jc w:val="center"/>
        </w:trPr>
        <w:tc>
          <w:tcPr>
            <w:tcW w:w="1687" w:type="dxa"/>
            <w:vMerge w:val="restart"/>
            <w:noWrap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Račun</w:t>
            </w:r>
          </w:p>
        </w:tc>
        <w:tc>
          <w:tcPr>
            <w:tcW w:w="4189" w:type="dxa"/>
            <w:vMerge w:val="restart"/>
            <w:noWrap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Naziv</w:t>
            </w:r>
          </w:p>
        </w:tc>
        <w:tc>
          <w:tcPr>
            <w:tcW w:w="1798" w:type="dxa"/>
            <w:noWrap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Plan za 2019</w:t>
            </w: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3587" w:type="dxa"/>
            <w:gridSpan w:val="2"/>
            <w:vAlign w:val="center"/>
            <w:hideMark/>
          </w:tcPr>
          <w:p w:rsidR="00685DB7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Izmjene i dopune  </w:t>
            </w: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br/>
              <w:t>povećanje/smanjenje</w:t>
            </w:r>
          </w:p>
          <w:p w:rsidR="009514E5" w:rsidRPr="009C0005" w:rsidRDefault="009514E5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Novi plan za 2019</w:t>
            </w: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.</w:t>
            </w:r>
          </w:p>
        </w:tc>
      </w:tr>
      <w:tr w:rsidR="00685DB7" w:rsidRPr="001A0FAC" w:rsidTr="008D277B">
        <w:trPr>
          <w:trHeight w:val="630"/>
          <w:jc w:val="center"/>
        </w:trPr>
        <w:tc>
          <w:tcPr>
            <w:tcW w:w="1687" w:type="dxa"/>
            <w:vMerge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4189" w:type="dxa"/>
            <w:vMerge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povećanje</w:t>
            </w:r>
          </w:p>
        </w:tc>
        <w:tc>
          <w:tcPr>
            <w:tcW w:w="1798" w:type="dxa"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smanjenje</w:t>
            </w:r>
          </w:p>
        </w:tc>
        <w:tc>
          <w:tcPr>
            <w:tcW w:w="1789" w:type="dxa"/>
            <w:vMerge/>
            <w:shd w:val="clear" w:color="auto" w:fill="DEEAF6" w:themeFill="accent1" w:themeFillTint="33"/>
            <w:vAlign w:val="center"/>
            <w:hideMark/>
          </w:tcPr>
          <w:p w:rsidR="00685DB7" w:rsidRPr="009C0005" w:rsidRDefault="00685DB7" w:rsidP="004471B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685DB7" w:rsidRPr="001A0FAC" w:rsidTr="008D277B">
        <w:trPr>
          <w:trHeight w:val="492"/>
          <w:jc w:val="center"/>
        </w:trPr>
        <w:tc>
          <w:tcPr>
            <w:tcW w:w="5876" w:type="dxa"/>
            <w:gridSpan w:val="2"/>
            <w:noWrap/>
            <w:hideMark/>
          </w:tcPr>
          <w:p w:rsidR="00685DB7" w:rsidRPr="009C0005" w:rsidRDefault="00685DB7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PLANIRANI VIŠAK PRIHODA 2018.</w:t>
            </w:r>
          </w:p>
        </w:tc>
        <w:tc>
          <w:tcPr>
            <w:tcW w:w="1798" w:type="dxa"/>
            <w:noWrap/>
            <w:hideMark/>
          </w:tcPr>
          <w:p w:rsidR="00685DB7" w:rsidRPr="009C0005" w:rsidRDefault="00685DB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15.633.700</w:t>
            </w:r>
          </w:p>
        </w:tc>
        <w:tc>
          <w:tcPr>
            <w:tcW w:w="1789" w:type="dxa"/>
            <w:noWrap/>
            <w:hideMark/>
          </w:tcPr>
          <w:p w:rsidR="00685DB7" w:rsidRPr="009C0005" w:rsidRDefault="007A7721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2.974.170</w:t>
            </w:r>
          </w:p>
        </w:tc>
        <w:tc>
          <w:tcPr>
            <w:tcW w:w="1798" w:type="dxa"/>
            <w:noWrap/>
            <w:hideMark/>
          </w:tcPr>
          <w:p w:rsidR="00685DB7" w:rsidRPr="009C0005" w:rsidRDefault="00685DB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0</w:t>
            </w:r>
          </w:p>
        </w:tc>
        <w:tc>
          <w:tcPr>
            <w:tcW w:w="1789" w:type="dxa"/>
            <w:shd w:val="clear" w:color="auto" w:fill="DEEAF6" w:themeFill="accent1" w:themeFillTint="33"/>
            <w:noWrap/>
            <w:hideMark/>
          </w:tcPr>
          <w:p w:rsidR="00685DB7" w:rsidRPr="009C0005" w:rsidRDefault="009E6A0A" w:rsidP="00653D69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</w:rPr>
              <w:t>18.607.870</w:t>
            </w:r>
          </w:p>
        </w:tc>
      </w:tr>
      <w:tr w:rsidR="00685DB7" w:rsidRPr="001A0FAC" w:rsidTr="008D277B">
        <w:trPr>
          <w:trHeight w:val="492"/>
          <w:jc w:val="center"/>
        </w:trPr>
        <w:tc>
          <w:tcPr>
            <w:tcW w:w="5876" w:type="dxa"/>
            <w:gridSpan w:val="2"/>
            <w:noWrap/>
            <w:hideMark/>
          </w:tcPr>
          <w:p w:rsidR="00685DB7" w:rsidRPr="009C0005" w:rsidRDefault="00685DB7" w:rsidP="001A0FAC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b/>
                <w:bCs/>
                <w:color w:val="002060"/>
                <w:sz w:val="22"/>
                <w:szCs w:val="22"/>
              </w:rPr>
              <w:t>PRENESENI VIŠAK PRIHODA IZ PRETHODNIH GODINA</w:t>
            </w:r>
          </w:p>
        </w:tc>
        <w:tc>
          <w:tcPr>
            <w:tcW w:w="1798" w:type="dxa"/>
            <w:noWrap/>
            <w:hideMark/>
          </w:tcPr>
          <w:p w:rsidR="00685DB7" w:rsidRPr="009C0005" w:rsidRDefault="00685DB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1789" w:type="dxa"/>
            <w:noWrap/>
            <w:hideMark/>
          </w:tcPr>
          <w:p w:rsidR="00685DB7" w:rsidRPr="009C0005" w:rsidRDefault="00685DB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1798" w:type="dxa"/>
            <w:noWrap/>
            <w:hideMark/>
          </w:tcPr>
          <w:p w:rsidR="00685DB7" w:rsidRPr="009C0005" w:rsidRDefault="00685DB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  <w:tc>
          <w:tcPr>
            <w:tcW w:w="1789" w:type="dxa"/>
            <w:shd w:val="clear" w:color="auto" w:fill="DEEAF6" w:themeFill="accent1" w:themeFillTint="33"/>
            <w:noWrap/>
            <w:hideMark/>
          </w:tcPr>
          <w:p w:rsidR="00685DB7" w:rsidRPr="009C0005" w:rsidRDefault="00685DB7" w:rsidP="00653D69">
            <w:pPr>
              <w:jc w:val="right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9C0005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 xml:space="preserve">0 </w:t>
            </w:r>
          </w:p>
        </w:tc>
      </w:tr>
    </w:tbl>
    <w:p w:rsidR="001A0FAC" w:rsidRDefault="001A0FAC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Default="00F549E0"/>
    <w:p w:rsidR="00F549E0" w:rsidRPr="00833D48" w:rsidRDefault="00BE5052" w:rsidP="004471BA">
      <w:pPr>
        <w:spacing w:after="120"/>
        <w:rPr>
          <w:rFonts w:asciiTheme="minorHAnsi" w:hAnsiTheme="minorHAnsi" w:cstheme="minorHAnsi"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i/>
          <w:color w:val="002060"/>
          <w:sz w:val="22"/>
          <w:szCs w:val="22"/>
        </w:rPr>
        <w:t xml:space="preserve">Zagreb, </w:t>
      </w:r>
      <w:r w:rsidR="008964E7">
        <w:rPr>
          <w:rFonts w:asciiTheme="minorHAnsi" w:hAnsiTheme="minorHAnsi" w:cstheme="minorHAnsi"/>
          <w:i/>
          <w:color w:val="002060"/>
          <w:sz w:val="22"/>
          <w:szCs w:val="22"/>
        </w:rPr>
        <w:t>6.11.</w:t>
      </w:r>
      <w:r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</w:t>
      </w:r>
      <w:r w:rsidR="00266B1C" w:rsidRPr="00833D48">
        <w:rPr>
          <w:rFonts w:asciiTheme="minorHAnsi" w:hAnsiTheme="minorHAnsi" w:cstheme="minorHAnsi"/>
          <w:i/>
          <w:color w:val="002060"/>
          <w:sz w:val="22"/>
          <w:szCs w:val="22"/>
        </w:rPr>
        <w:t>2019</w:t>
      </w:r>
      <w:r w:rsidR="00F549E0"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. </w:t>
      </w:r>
      <w:r w:rsidR="00F549E0" w:rsidRPr="00833D48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                 </w:t>
      </w:r>
    </w:p>
    <w:p w:rsidR="00F549E0" w:rsidRPr="00833D48" w:rsidRDefault="00F549E0" w:rsidP="004471BA">
      <w:pPr>
        <w:spacing w:after="120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70060"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             </w:t>
      </w:r>
      <w:r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Sanacijski upravitelj</w:t>
      </w:r>
      <w:r w:rsidR="00BE5052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Studentskog centra u Zagrebu</w:t>
      </w:r>
    </w:p>
    <w:p w:rsidR="00F549E0" w:rsidRPr="00833D48" w:rsidRDefault="00F549E0" w:rsidP="004471BA">
      <w:pPr>
        <w:spacing w:after="120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70060"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            </w:t>
      </w:r>
      <w:r w:rsidR="00BE5052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                          </w:t>
      </w:r>
      <w:r w:rsidRPr="00833D48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mr. </w:t>
      </w:r>
      <w:proofErr w:type="spellStart"/>
      <w:r w:rsidR="00470060" w:rsidRPr="00833D48">
        <w:rPr>
          <w:rFonts w:asciiTheme="minorHAnsi" w:hAnsiTheme="minorHAnsi" w:cstheme="minorHAnsi"/>
          <w:i/>
          <w:color w:val="002060"/>
          <w:sz w:val="22"/>
          <w:szCs w:val="22"/>
        </w:rPr>
        <w:t>sc</w:t>
      </w:r>
      <w:proofErr w:type="spellEnd"/>
      <w:r w:rsidRPr="00833D48">
        <w:rPr>
          <w:rFonts w:asciiTheme="minorHAnsi" w:hAnsiTheme="minorHAnsi" w:cstheme="minorHAnsi"/>
          <w:i/>
          <w:color w:val="002060"/>
          <w:sz w:val="22"/>
          <w:szCs w:val="22"/>
        </w:rPr>
        <w:t>. Mirko Bošnjak</w:t>
      </w:r>
    </w:p>
    <w:sectPr w:rsidR="00F549E0" w:rsidRPr="00833D48" w:rsidSect="00AF6BD0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D2" w:rsidRDefault="006961D2" w:rsidP="001A0FAC">
      <w:r>
        <w:separator/>
      </w:r>
    </w:p>
  </w:endnote>
  <w:endnote w:type="continuationSeparator" w:id="0">
    <w:p w:rsidR="006961D2" w:rsidRDefault="006961D2" w:rsidP="001A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k CE">
    <w:altName w:val="Bahnschrift Light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668615"/>
      <w:docPartObj>
        <w:docPartGallery w:val="Page Numbers (Bottom of Page)"/>
        <w:docPartUnique/>
      </w:docPartObj>
    </w:sdtPr>
    <w:sdtEndPr/>
    <w:sdtContent>
      <w:p w:rsidR="00AF6BD0" w:rsidRDefault="00AF6BD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E7C">
          <w:rPr>
            <w:noProof/>
          </w:rPr>
          <w:t>8</w:t>
        </w:r>
        <w:r>
          <w:fldChar w:fldCharType="end"/>
        </w:r>
      </w:p>
    </w:sdtContent>
  </w:sdt>
  <w:p w:rsidR="0009002D" w:rsidRDefault="000900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D2" w:rsidRDefault="006961D2" w:rsidP="001A0FAC">
      <w:r>
        <w:separator/>
      </w:r>
    </w:p>
  </w:footnote>
  <w:footnote w:type="continuationSeparator" w:id="0">
    <w:p w:rsidR="006961D2" w:rsidRDefault="006961D2" w:rsidP="001A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AC" w:rsidRPr="0009002D" w:rsidRDefault="00426CDC">
    <w:pPr>
      <w:pStyle w:val="Zaglavlje"/>
      <w:rPr>
        <w:color w:val="002060"/>
      </w:rPr>
    </w:pPr>
    <w:r>
      <w:rPr>
        <w:color w:val="002060"/>
      </w:rPr>
      <w:t>IZMJENA</w:t>
    </w:r>
    <w:r w:rsidR="000F7087" w:rsidRPr="0009002D">
      <w:rPr>
        <w:color w:val="002060"/>
      </w:rPr>
      <w:t xml:space="preserve"> FINANCIJSKOG P</w:t>
    </w:r>
    <w:r w:rsidR="00C46CD0" w:rsidRPr="0009002D">
      <w:rPr>
        <w:color w:val="002060"/>
      </w:rPr>
      <w:t>LANA ZA 2019</w:t>
    </w:r>
    <w:r w:rsidR="001A0FAC" w:rsidRPr="0009002D">
      <w:rPr>
        <w:color w:val="002060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72D2"/>
    <w:multiLevelType w:val="hybridMultilevel"/>
    <w:tmpl w:val="4DC28D92"/>
    <w:lvl w:ilvl="0" w:tplc="44783B90">
      <w:start w:val="251"/>
      <w:numFmt w:val="bullet"/>
      <w:lvlText w:val="-"/>
      <w:lvlJc w:val="left"/>
      <w:pPr>
        <w:ind w:left="720" w:hanging="360"/>
      </w:pPr>
      <w:rPr>
        <w:rFonts w:ascii="Futura Bk CE" w:eastAsia="Times New Roman" w:hAnsi="Futura Bk C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D2B"/>
    <w:multiLevelType w:val="multilevel"/>
    <w:tmpl w:val="42D8C1D4"/>
    <w:lvl w:ilvl="0">
      <w:start w:val="350"/>
      <w:numFmt w:val="decimal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C"/>
    <w:rsid w:val="000044C4"/>
    <w:rsid w:val="0002104E"/>
    <w:rsid w:val="00027EBC"/>
    <w:rsid w:val="000447AF"/>
    <w:rsid w:val="00045FB2"/>
    <w:rsid w:val="00054D32"/>
    <w:rsid w:val="0006798A"/>
    <w:rsid w:val="00086A79"/>
    <w:rsid w:val="0009002D"/>
    <w:rsid w:val="00095DD3"/>
    <w:rsid w:val="000A1461"/>
    <w:rsid w:val="000B207B"/>
    <w:rsid w:val="000B3404"/>
    <w:rsid w:val="000B5198"/>
    <w:rsid w:val="000B5DD6"/>
    <w:rsid w:val="000C411A"/>
    <w:rsid w:val="000C652B"/>
    <w:rsid w:val="000E6816"/>
    <w:rsid w:val="000F27FD"/>
    <w:rsid w:val="000F5CBF"/>
    <w:rsid w:val="000F7087"/>
    <w:rsid w:val="00124CA9"/>
    <w:rsid w:val="00136067"/>
    <w:rsid w:val="00181BF6"/>
    <w:rsid w:val="0019088D"/>
    <w:rsid w:val="00192D67"/>
    <w:rsid w:val="001A0FAC"/>
    <w:rsid w:val="001D1350"/>
    <w:rsid w:val="001F1B97"/>
    <w:rsid w:val="00203C45"/>
    <w:rsid w:val="00207559"/>
    <w:rsid w:val="0022103F"/>
    <w:rsid w:val="0022566F"/>
    <w:rsid w:val="00247B71"/>
    <w:rsid w:val="00266B1C"/>
    <w:rsid w:val="002675FF"/>
    <w:rsid w:val="00267A5C"/>
    <w:rsid w:val="0028456A"/>
    <w:rsid w:val="00285971"/>
    <w:rsid w:val="0029067C"/>
    <w:rsid w:val="0029483D"/>
    <w:rsid w:val="002A79F8"/>
    <w:rsid w:val="002B1843"/>
    <w:rsid w:val="002B2ECE"/>
    <w:rsid w:val="002B4083"/>
    <w:rsid w:val="002C2C46"/>
    <w:rsid w:val="002D2B9B"/>
    <w:rsid w:val="002D3C99"/>
    <w:rsid w:val="002E0EB3"/>
    <w:rsid w:val="002F2118"/>
    <w:rsid w:val="002F3768"/>
    <w:rsid w:val="00305B4F"/>
    <w:rsid w:val="00307720"/>
    <w:rsid w:val="00316025"/>
    <w:rsid w:val="00322C53"/>
    <w:rsid w:val="003302BF"/>
    <w:rsid w:val="00331876"/>
    <w:rsid w:val="00335E86"/>
    <w:rsid w:val="00337E26"/>
    <w:rsid w:val="003414DF"/>
    <w:rsid w:val="003750E3"/>
    <w:rsid w:val="0037636A"/>
    <w:rsid w:val="0038724D"/>
    <w:rsid w:val="00390E39"/>
    <w:rsid w:val="003941C6"/>
    <w:rsid w:val="003A0F8D"/>
    <w:rsid w:val="003A6156"/>
    <w:rsid w:val="003B130A"/>
    <w:rsid w:val="003B1FEB"/>
    <w:rsid w:val="003C72CC"/>
    <w:rsid w:val="003F3F7E"/>
    <w:rsid w:val="00406A33"/>
    <w:rsid w:val="00410E7C"/>
    <w:rsid w:val="004112D2"/>
    <w:rsid w:val="00412E97"/>
    <w:rsid w:val="00414664"/>
    <w:rsid w:val="00417639"/>
    <w:rsid w:val="004264D2"/>
    <w:rsid w:val="00426CDC"/>
    <w:rsid w:val="004471BA"/>
    <w:rsid w:val="00455C13"/>
    <w:rsid w:val="004560E3"/>
    <w:rsid w:val="00457FB1"/>
    <w:rsid w:val="00470060"/>
    <w:rsid w:val="00473860"/>
    <w:rsid w:val="00476E30"/>
    <w:rsid w:val="00494DCB"/>
    <w:rsid w:val="00496788"/>
    <w:rsid w:val="00496EE1"/>
    <w:rsid w:val="00497C58"/>
    <w:rsid w:val="004C44FC"/>
    <w:rsid w:val="004D0D3F"/>
    <w:rsid w:val="004D4B08"/>
    <w:rsid w:val="004E14CB"/>
    <w:rsid w:val="004E3598"/>
    <w:rsid w:val="004E5D18"/>
    <w:rsid w:val="00501826"/>
    <w:rsid w:val="005021A7"/>
    <w:rsid w:val="005070E9"/>
    <w:rsid w:val="00516072"/>
    <w:rsid w:val="0054206C"/>
    <w:rsid w:val="00551439"/>
    <w:rsid w:val="00552F48"/>
    <w:rsid w:val="00553BF4"/>
    <w:rsid w:val="00575148"/>
    <w:rsid w:val="005A4F06"/>
    <w:rsid w:val="005A5E51"/>
    <w:rsid w:val="005A7AC5"/>
    <w:rsid w:val="005D216F"/>
    <w:rsid w:val="005D311D"/>
    <w:rsid w:val="005D5FD5"/>
    <w:rsid w:val="005E073E"/>
    <w:rsid w:val="005E5C99"/>
    <w:rsid w:val="0060554E"/>
    <w:rsid w:val="0061297B"/>
    <w:rsid w:val="00622819"/>
    <w:rsid w:val="006240AC"/>
    <w:rsid w:val="006247BF"/>
    <w:rsid w:val="0062661A"/>
    <w:rsid w:val="00642F25"/>
    <w:rsid w:val="00644570"/>
    <w:rsid w:val="00653D69"/>
    <w:rsid w:val="00656D1E"/>
    <w:rsid w:val="006616CB"/>
    <w:rsid w:val="00673788"/>
    <w:rsid w:val="00685DB7"/>
    <w:rsid w:val="006961D2"/>
    <w:rsid w:val="006A0B47"/>
    <w:rsid w:val="006A38BA"/>
    <w:rsid w:val="006B0732"/>
    <w:rsid w:val="006C5FD2"/>
    <w:rsid w:val="006E474F"/>
    <w:rsid w:val="007049B7"/>
    <w:rsid w:val="00715946"/>
    <w:rsid w:val="00720E64"/>
    <w:rsid w:val="007563C3"/>
    <w:rsid w:val="00763C0F"/>
    <w:rsid w:val="00770DFE"/>
    <w:rsid w:val="00775092"/>
    <w:rsid w:val="0078521D"/>
    <w:rsid w:val="007A7721"/>
    <w:rsid w:val="007B5EA9"/>
    <w:rsid w:val="007E103B"/>
    <w:rsid w:val="007F30D0"/>
    <w:rsid w:val="00805308"/>
    <w:rsid w:val="008247EC"/>
    <w:rsid w:val="00826BE2"/>
    <w:rsid w:val="00830B11"/>
    <w:rsid w:val="00833D48"/>
    <w:rsid w:val="0083485E"/>
    <w:rsid w:val="00844B2E"/>
    <w:rsid w:val="00851AA4"/>
    <w:rsid w:val="00862935"/>
    <w:rsid w:val="00864310"/>
    <w:rsid w:val="00884EDE"/>
    <w:rsid w:val="008964E7"/>
    <w:rsid w:val="008A7759"/>
    <w:rsid w:val="008C6DE7"/>
    <w:rsid w:val="008D277B"/>
    <w:rsid w:val="008D28EB"/>
    <w:rsid w:val="008D3A1E"/>
    <w:rsid w:val="00902BE7"/>
    <w:rsid w:val="009060A7"/>
    <w:rsid w:val="00913A67"/>
    <w:rsid w:val="009157B9"/>
    <w:rsid w:val="00925613"/>
    <w:rsid w:val="009269F5"/>
    <w:rsid w:val="00931304"/>
    <w:rsid w:val="00933948"/>
    <w:rsid w:val="0094686A"/>
    <w:rsid w:val="00947C7E"/>
    <w:rsid w:val="009514E5"/>
    <w:rsid w:val="00951B03"/>
    <w:rsid w:val="009734CE"/>
    <w:rsid w:val="0097351B"/>
    <w:rsid w:val="00993A58"/>
    <w:rsid w:val="009C0005"/>
    <w:rsid w:val="009C51EF"/>
    <w:rsid w:val="009C648F"/>
    <w:rsid w:val="009E095F"/>
    <w:rsid w:val="009E10C1"/>
    <w:rsid w:val="009E3A7D"/>
    <w:rsid w:val="009E6A0A"/>
    <w:rsid w:val="00A025A8"/>
    <w:rsid w:val="00A050F9"/>
    <w:rsid w:val="00A10605"/>
    <w:rsid w:val="00A12E52"/>
    <w:rsid w:val="00A16DBC"/>
    <w:rsid w:val="00A27D28"/>
    <w:rsid w:val="00A33A42"/>
    <w:rsid w:val="00A424F5"/>
    <w:rsid w:val="00A53FBE"/>
    <w:rsid w:val="00A60B52"/>
    <w:rsid w:val="00A67650"/>
    <w:rsid w:val="00A75024"/>
    <w:rsid w:val="00A75ACD"/>
    <w:rsid w:val="00A76559"/>
    <w:rsid w:val="00A85716"/>
    <w:rsid w:val="00A95C4C"/>
    <w:rsid w:val="00A97C3A"/>
    <w:rsid w:val="00AA0BE8"/>
    <w:rsid w:val="00AC27EE"/>
    <w:rsid w:val="00AE201A"/>
    <w:rsid w:val="00AF6BD0"/>
    <w:rsid w:val="00B01523"/>
    <w:rsid w:val="00B06E28"/>
    <w:rsid w:val="00B1056B"/>
    <w:rsid w:val="00B378D5"/>
    <w:rsid w:val="00B70698"/>
    <w:rsid w:val="00B71D54"/>
    <w:rsid w:val="00B8089E"/>
    <w:rsid w:val="00B81762"/>
    <w:rsid w:val="00B87128"/>
    <w:rsid w:val="00B947B4"/>
    <w:rsid w:val="00B9521F"/>
    <w:rsid w:val="00BA472F"/>
    <w:rsid w:val="00BB65CA"/>
    <w:rsid w:val="00BD1225"/>
    <w:rsid w:val="00BD5983"/>
    <w:rsid w:val="00BE10CC"/>
    <w:rsid w:val="00BE5052"/>
    <w:rsid w:val="00C00E7F"/>
    <w:rsid w:val="00C05209"/>
    <w:rsid w:val="00C1218A"/>
    <w:rsid w:val="00C1288C"/>
    <w:rsid w:val="00C12F56"/>
    <w:rsid w:val="00C15A27"/>
    <w:rsid w:val="00C30E93"/>
    <w:rsid w:val="00C31988"/>
    <w:rsid w:val="00C3358F"/>
    <w:rsid w:val="00C344EF"/>
    <w:rsid w:val="00C352C6"/>
    <w:rsid w:val="00C44CEB"/>
    <w:rsid w:val="00C4565A"/>
    <w:rsid w:val="00C46CD0"/>
    <w:rsid w:val="00C57523"/>
    <w:rsid w:val="00C60820"/>
    <w:rsid w:val="00C649EC"/>
    <w:rsid w:val="00C65674"/>
    <w:rsid w:val="00C66BBD"/>
    <w:rsid w:val="00C72AFA"/>
    <w:rsid w:val="00C73CEA"/>
    <w:rsid w:val="00C73E27"/>
    <w:rsid w:val="00C77463"/>
    <w:rsid w:val="00C83D18"/>
    <w:rsid w:val="00C8621B"/>
    <w:rsid w:val="00C9083A"/>
    <w:rsid w:val="00C974A2"/>
    <w:rsid w:val="00CA30B1"/>
    <w:rsid w:val="00CA47E2"/>
    <w:rsid w:val="00CA7C08"/>
    <w:rsid w:val="00CB4844"/>
    <w:rsid w:val="00CD1D08"/>
    <w:rsid w:val="00CD6E15"/>
    <w:rsid w:val="00CE7087"/>
    <w:rsid w:val="00CF11DD"/>
    <w:rsid w:val="00CF2589"/>
    <w:rsid w:val="00CF2B32"/>
    <w:rsid w:val="00D0358B"/>
    <w:rsid w:val="00D10158"/>
    <w:rsid w:val="00D10644"/>
    <w:rsid w:val="00D217A9"/>
    <w:rsid w:val="00D326D7"/>
    <w:rsid w:val="00D42E37"/>
    <w:rsid w:val="00D51CC3"/>
    <w:rsid w:val="00D72055"/>
    <w:rsid w:val="00D80C69"/>
    <w:rsid w:val="00D965F0"/>
    <w:rsid w:val="00DA12F0"/>
    <w:rsid w:val="00DA1A7D"/>
    <w:rsid w:val="00DB04DA"/>
    <w:rsid w:val="00DB7D13"/>
    <w:rsid w:val="00DD0A12"/>
    <w:rsid w:val="00DD48E0"/>
    <w:rsid w:val="00DD579E"/>
    <w:rsid w:val="00DE7BF6"/>
    <w:rsid w:val="00E0002F"/>
    <w:rsid w:val="00E1209E"/>
    <w:rsid w:val="00E15844"/>
    <w:rsid w:val="00E1700F"/>
    <w:rsid w:val="00E22892"/>
    <w:rsid w:val="00E24C7E"/>
    <w:rsid w:val="00E3672B"/>
    <w:rsid w:val="00E41130"/>
    <w:rsid w:val="00E575A0"/>
    <w:rsid w:val="00E638F3"/>
    <w:rsid w:val="00E720E8"/>
    <w:rsid w:val="00E7502F"/>
    <w:rsid w:val="00E835A6"/>
    <w:rsid w:val="00E91244"/>
    <w:rsid w:val="00E918B1"/>
    <w:rsid w:val="00EA479F"/>
    <w:rsid w:val="00EA4D57"/>
    <w:rsid w:val="00EB293B"/>
    <w:rsid w:val="00EB7469"/>
    <w:rsid w:val="00EC534A"/>
    <w:rsid w:val="00ED1375"/>
    <w:rsid w:val="00EE52B2"/>
    <w:rsid w:val="00EF30EF"/>
    <w:rsid w:val="00EF63E8"/>
    <w:rsid w:val="00EF720F"/>
    <w:rsid w:val="00F00C84"/>
    <w:rsid w:val="00F03D22"/>
    <w:rsid w:val="00F11DE7"/>
    <w:rsid w:val="00F128A9"/>
    <w:rsid w:val="00F1583B"/>
    <w:rsid w:val="00F27A1B"/>
    <w:rsid w:val="00F31D8C"/>
    <w:rsid w:val="00F32C0D"/>
    <w:rsid w:val="00F37F64"/>
    <w:rsid w:val="00F40217"/>
    <w:rsid w:val="00F446EB"/>
    <w:rsid w:val="00F46F2A"/>
    <w:rsid w:val="00F50561"/>
    <w:rsid w:val="00F549E0"/>
    <w:rsid w:val="00F55DE9"/>
    <w:rsid w:val="00F7268D"/>
    <w:rsid w:val="00F95AE0"/>
    <w:rsid w:val="00FB08A6"/>
    <w:rsid w:val="00FB4756"/>
    <w:rsid w:val="00FB4820"/>
    <w:rsid w:val="00FC09D2"/>
    <w:rsid w:val="00FE24BB"/>
    <w:rsid w:val="00FE60EC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C838"/>
  <w15:chartTrackingRefBased/>
  <w15:docId w15:val="{0298ED7A-3E1E-4EF5-B01C-6D5DB46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AC"/>
    <w:pPr>
      <w:spacing w:after="0" w:line="240" w:lineRule="auto"/>
      <w:jc w:val="both"/>
    </w:pPr>
    <w:rPr>
      <w:rFonts w:ascii="Futura Bk CE" w:eastAsia="Times New Roman" w:hAnsi="Futura Bk CE" w:cs="Times New Roman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FAC"/>
    <w:rPr>
      <w:rFonts w:ascii="Futura Bk CE" w:eastAsia="Times New Roman" w:hAnsi="Futura Bk CE" w:cs="Times New Roman"/>
      <w:sz w:val="18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A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FAC"/>
    <w:rPr>
      <w:rFonts w:ascii="Futura Bk CE" w:eastAsia="Times New Roman" w:hAnsi="Futura Bk CE" w:cs="Times New Roman"/>
      <w:sz w:val="18"/>
      <w:szCs w:val="20"/>
    </w:rPr>
  </w:style>
  <w:style w:type="paragraph" w:styleId="Odlomakpopisa">
    <w:name w:val="List Paragraph"/>
    <w:basedOn w:val="Normal"/>
    <w:uiPriority w:val="34"/>
    <w:qFormat/>
    <w:rsid w:val="0049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E39B-D2D9-4BBB-B2C7-A792F35F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Snjezana Dubak-Braskic</cp:lastModifiedBy>
  <cp:revision>373</cp:revision>
  <dcterms:created xsi:type="dcterms:W3CDTF">2018-12-14T13:58:00Z</dcterms:created>
  <dcterms:modified xsi:type="dcterms:W3CDTF">2019-12-16T13:12:00Z</dcterms:modified>
</cp:coreProperties>
</file>